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B7E7" w14:textId="77777777" w:rsidR="00254FD7" w:rsidRPr="00564A84" w:rsidRDefault="00254FD7" w:rsidP="008D3D30">
      <w:pPr>
        <w:pStyle w:val="NormalWeb"/>
        <w:jc w:val="center"/>
        <w:rPr>
          <w:b/>
          <w:bCs/>
          <w:sz w:val="28"/>
          <w:szCs w:val="28"/>
        </w:rPr>
      </w:pPr>
      <w:r w:rsidRPr="00564A84">
        <w:rPr>
          <w:b/>
          <w:bCs/>
          <w:sz w:val="28"/>
          <w:szCs w:val="28"/>
        </w:rPr>
        <w:t>Regulating Digital Banking: Legal Strategies for Risk Management and Consumer Protection in India</w:t>
      </w:r>
    </w:p>
    <w:p w14:paraId="21BCD6D0" w14:textId="77777777" w:rsidR="00254FD7" w:rsidRPr="00BD7023" w:rsidRDefault="00254FD7" w:rsidP="008D3D30">
      <w:pPr>
        <w:pStyle w:val="NormalWeb"/>
        <w:jc w:val="center"/>
      </w:pPr>
      <w:r w:rsidRPr="00BD7023">
        <w:t>SUBMITTED BY</w:t>
      </w:r>
    </w:p>
    <w:p w14:paraId="64899E63" w14:textId="2C1934BD" w:rsidR="00254FD7" w:rsidRPr="00BD7023" w:rsidRDefault="00254FD7" w:rsidP="008D3D30">
      <w:pPr>
        <w:pStyle w:val="NormalWeb"/>
        <w:jc w:val="center"/>
      </w:pPr>
      <w:r w:rsidRPr="00BD7023">
        <w:t>AUTHOR</w:t>
      </w:r>
    </w:p>
    <w:p w14:paraId="0E8E17FB" w14:textId="5895B8BA" w:rsidR="00254FD7" w:rsidRDefault="00DD5286" w:rsidP="008D3D30">
      <w:pPr>
        <w:pStyle w:val="NormalWeb"/>
        <w:jc w:val="center"/>
        <w:rPr>
          <w:b/>
          <w:bCs/>
        </w:rPr>
      </w:pPr>
      <w:r>
        <w:rPr>
          <w:b/>
          <w:bCs/>
        </w:rPr>
        <w:t>GODHAWARI.</w:t>
      </w:r>
      <w:r w:rsidR="00254FD7">
        <w:rPr>
          <w:b/>
          <w:bCs/>
        </w:rPr>
        <w:t xml:space="preserve"> P</w:t>
      </w:r>
    </w:p>
    <w:p w14:paraId="7C3AADC1" w14:textId="77777777" w:rsidR="00254FD7" w:rsidRPr="00BD7023" w:rsidRDefault="00254FD7" w:rsidP="008D3D30">
      <w:pPr>
        <w:pStyle w:val="NormalWeb"/>
        <w:jc w:val="center"/>
      </w:pPr>
      <w:r w:rsidRPr="00BD7023">
        <w:t>Research Scholar</w:t>
      </w:r>
    </w:p>
    <w:p w14:paraId="7228C071" w14:textId="77777777" w:rsidR="00254FD7" w:rsidRPr="00BD7023" w:rsidRDefault="00254FD7" w:rsidP="008D3D30">
      <w:pPr>
        <w:pStyle w:val="NormalWeb"/>
        <w:jc w:val="center"/>
      </w:pPr>
      <w:r w:rsidRPr="00BD7023">
        <w:t>VISTAS</w:t>
      </w:r>
    </w:p>
    <w:p w14:paraId="206BAEA8" w14:textId="77777777" w:rsidR="00254FD7" w:rsidRPr="00BD7023" w:rsidRDefault="00254FD7" w:rsidP="008D3D30">
      <w:pPr>
        <w:pStyle w:val="NormalWeb"/>
        <w:jc w:val="center"/>
      </w:pPr>
      <w:r w:rsidRPr="00BD7023">
        <w:t>CO AUTHOR</w:t>
      </w:r>
    </w:p>
    <w:p w14:paraId="5E182365" w14:textId="0488AF59" w:rsidR="00254FD7" w:rsidRDefault="00254FD7" w:rsidP="008D3D30">
      <w:pPr>
        <w:pStyle w:val="NormalWeb"/>
        <w:jc w:val="center"/>
        <w:rPr>
          <w:b/>
          <w:bCs/>
        </w:rPr>
      </w:pPr>
      <w:r>
        <w:rPr>
          <w:b/>
          <w:bCs/>
        </w:rPr>
        <w:t>Dr. A</w:t>
      </w:r>
      <w:r w:rsidR="00DD5286">
        <w:rPr>
          <w:b/>
          <w:bCs/>
        </w:rPr>
        <w:t>ZIZUNNISAA</w:t>
      </w:r>
      <w:r>
        <w:rPr>
          <w:b/>
          <w:bCs/>
        </w:rPr>
        <w:t xml:space="preserve"> B</w:t>
      </w:r>
      <w:r w:rsidR="00DD5286">
        <w:rPr>
          <w:b/>
          <w:bCs/>
        </w:rPr>
        <w:t>EGAM</w:t>
      </w:r>
    </w:p>
    <w:p w14:paraId="5F12B4A7" w14:textId="77777777" w:rsidR="00254FD7" w:rsidRPr="00BD7023" w:rsidRDefault="00254FD7" w:rsidP="008D3D30">
      <w:pPr>
        <w:pStyle w:val="NormalWeb"/>
        <w:jc w:val="center"/>
      </w:pPr>
      <w:r w:rsidRPr="00BD7023">
        <w:t>Research Supervisor</w:t>
      </w:r>
    </w:p>
    <w:p w14:paraId="6BA95823" w14:textId="1C57D559" w:rsidR="00254FD7" w:rsidRPr="00BD7023" w:rsidRDefault="00254FD7" w:rsidP="008D3D30">
      <w:pPr>
        <w:pStyle w:val="NormalWeb"/>
        <w:jc w:val="center"/>
      </w:pPr>
      <w:r w:rsidRPr="00BD7023">
        <w:t>VISTAS</w:t>
      </w:r>
    </w:p>
    <w:p w14:paraId="5AA71F04" w14:textId="77777777" w:rsidR="00254FD7" w:rsidRPr="00BD7023" w:rsidRDefault="00254FD7" w:rsidP="008D3D30">
      <w:pPr>
        <w:pStyle w:val="NormalWeb"/>
        <w:jc w:val="both"/>
        <w:rPr>
          <w:rStyle w:val="Strong"/>
          <w:b w:val="0"/>
          <w:bCs w:val="0"/>
        </w:rPr>
      </w:pPr>
    </w:p>
    <w:p w14:paraId="585DB04C" w14:textId="77777777" w:rsidR="00254FD7" w:rsidRDefault="00254FD7" w:rsidP="008D3D30">
      <w:pPr>
        <w:pStyle w:val="NormalWeb"/>
        <w:jc w:val="both"/>
      </w:pPr>
      <w:r>
        <w:rPr>
          <w:rStyle w:val="Strong"/>
        </w:rPr>
        <w:t>Abstract</w:t>
      </w:r>
    </w:p>
    <w:p w14:paraId="1D413744" w14:textId="77777777" w:rsidR="00254FD7" w:rsidRDefault="00254FD7" w:rsidP="008D3D30">
      <w:pPr>
        <w:pStyle w:val="NormalWeb"/>
        <w:spacing w:line="360" w:lineRule="auto"/>
        <w:jc w:val="both"/>
      </w:pPr>
      <w:r>
        <w:t>The rapid growth of digital banking in India—driven by innovations such as Unified Payments Interface (UPI), mobile wallets, and AI-enabled credit scoring—has transformed financial services delivery while introducing unprecedented regulatory and operational challenges. Although the Reserve Bank of India (RBI) and allied regulatory bodies have implemented frameworks for digital payments, cyber security, and consumer protection, the pace of technological advancement often outstrips legal adaptation. This paper examines the evolving legal strategies for risk management and consumer protection in India’s digital banking ecosystem, with a focus on compliance, fraud prevention, and dispute resolution.</w:t>
      </w:r>
    </w:p>
    <w:p w14:paraId="69F1F581" w14:textId="77777777" w:rsidR="00254FD7" w:rsidRDefault="00254FD7" w:rsidP="008D3D30">
      <w:pPr>
        <w:pStyle w:val="NormalWeb"/>
        <w:spacing w:line="360" w:lineRule="auto"/>
        <w:jc w:val="both"/>
      </w:pPr>
      <w:r>
        <w:t xml:space="preserve">The study begins by analysing the current regulatory architecture, including the </w:t>
      </w:r>
      <w:r>
        <w:rPr>
          <w:rStyle w:val="Emphasis"/>
        </w:rPr>
        <w:t>Banking Regulation Act, 1949</w:t>
      </w:r>
      <w:r>
        <w:t xml:space="preserve">, </w:t>
      </w:r>
      <w:r>
        <w:rPr>
          <w:rStyle w:val="Emphasis"/>
        </w:rPr>
        <w:t>Payment and Settlement Systems Act, 2007</w:t>
      </w:r>
      <w:r>
        <w:t xml:space="preserve">, and guidelines under the RBI’s </w:t>
      </w:r>
      <w:r>
        <w:rPr>
          <w:rStyle w:val="Emphasis"/>
        </w:rPr>
        <w:t>Master Directions on Digital Payment Security Controls</w:t>
      </w:r>
      <w:r>
        <w:t xml:space="preserve"> (2021). It critically evaluates the efficacy of these measures in addressing cyber fraud, phishing, identity theft, and algorithmic bias in credit scoring. By reviewing recent judicial pronouncements, such as </w:t>
      </w:r>
      <w:r>
        <w:rPr>
          <w:rStyle w:val="Emphasis"/>
        </w:rPr>
        <w:t>Reserve Bank of India v. Jayantilal N. Mistry</w:t>
      </w:r>
      <w:r>
        <w:t xml:space="preserve"> (2015), and RBI’s enforcement actions against non-compliant payment service providers, the paper identifies regulatory strengths and enforcement gaps.</w:t>
      </w:r>
    </w:p>
    <w:p w14:paraId="026452D9" w14:textId="77777777" w:rsidR="00254FD7" w:rsidRDefault="00254FD7" w:rsidP="008D3D30">
      <w:pPr>
        <w:pStyle w:val="NormalWeb"/>
        <w:spacing w:line="360" w:lineRule="auto"/>
        <w:jc w:val="both"/>
      </w:pPr>
      <w:r>
        <w:lastRenderedPageBreak/>
        <w:t xml:space="preserve">A key emphasis is placed on strategic risk management through the integration of technology-neutral legal provisions, mandatory cyber security audits, and robust Know Your Customer (KYC) norms. The paper also explores international best practices from jurisdictions like the EU’s </w:t>
      </w:r>
      <w:r>
        <w:rPr>
          <w:rStyle w:val="Emphasis"/>
        </w:rPr>
        <w:t>Revised Payment Services Directive</w:t>
      </w:r>
      <w:r>
        <w:t xml:space="preserve"> (PSD2) and the U.S. </w:t>
      </w:r>
      <w:r>
        <w:rPr>
          <w:rStyle w:val="Emphasis"/>
        </w:rPr>
        <w:t>Consumer Financial Protection Bureau</w:t>
      </w:r>
      <w:r>
        <w:t xml:space="preserve"> (CFPB) guidelines, assessing their adaptability to the Indian context.</w:t>
      </w:r>
    </w:p>
    <w:p w14:paraId="5DCB0168" w14:textId="77777777" w:rsidR="00254FD7" w:rsidRDefault="00254FD7" w:rsidP="008D3D30">
      <w:pPr>
        <w:pStyle w:val="NormalWeb"/>
        <w:spacing w:line="360" w:lineRule="auto"/>
        <w:jc w:val="both"/>
      </w:pPr>
      <w:r>
        <w:t xml:space="preserve">Consumer protection is addressed through the lens of </w:t>
      </w:r>
      <w:r>
        <w:rPr>
          <w:rStyle w:val="Strong"/>
        </w:rPr>
        <w:t>Sustainable Development Goal 16</w:t>
      </w:r>
      <w:r>
        <w:t xml:space="preserve"> (Peace, Justice, and Strong Institutions), underscoring that trust in digital banking is central to financial inclusion. The research proposes a hybrid regulatory model combining statutory provisions, self-regulation by industry players, and technology-enabled grievance redressal mechanisms such as AI-driven ombudsman services.</w:t>
      </w:r>
    </w:p>
    <w:p w14:paraId="5001E3ED" w14:textId="77777777" w:rsidR="00254FD7" w:rsidRDefault="00254FD7" w:rsidP="008D3D30">
      <w:pPr>
        <w:pStyle w:val="NormalWeb"/>
        <w:spacing w:line="360" w:lineRule="auto"/>
        <w:jc w:val="both"/>
      </w:pPr>
      <w:r>
        <w:t>Ultimately, the paper argues that effective regulation of digital banking in India requires a proactive, anticipatory legal framework that evolves alongside technological innovation. By harmonising legal certainty with innovation-friendly policies, India can strengthen both financial stability and consumer trust in the digital era.</w:t>
      </w:r>
    </w:p>
    <w:p w14:paraId="56D205FD" w14:textId="77777777" w:rsidR="008D3D30" w:rsidRDefault="00254FD7" w:rsidP="008D3D30">
      <w:pPr>
        <w:pStyle w:val="NormalWeb"/>
        <w:spacing w:line="360" w:lineRule="auto"/>
        <w:jc w:val="both"/>
      </w:pPr>
      <w:r>
        <w:rPr>
          <w:rStyle w:val="Strong"/>
        </w:rPr>
        <w:t>Keywords:</w:t>
      </w:r>
      <w:r>
        <w:t xml:space="preserve"> </w:t>
      </w:r>
    </w:p>
    <w:p w14:paraId="7363BCDC" w14:textId="2C6152A9" w:rsidR="00254FD7" w:rsidRPr="00254FD7" w:rsidRDefault="008D3D30" w:rsidP="008D3D30">
      <w:pPr>
        <w:pStyle w:val="NormalWeb"/>
        <w:spacing w:line="360" w:lineRule="auto"/>
        <w:jc w:val="both"/>
      </w:pPr>
      <w:r>
        <w:tab/>
      </w:r>
      <w:r w:rsidR="00254FD7">
        <w:t>Digital banking</w:t>
      </w:r>
      <w:r>
        <w:t>-</w:t>
      </w:r>
      <w:r w:rsidR="00254FD7">
        <w:t xml:space="preserve"> risk management</w:t>
      </w:r>
      <w:r>
        <w:t xml:space="preserve"> -</w:t>
      </w:r>
      <w:r w:rsidR="00254FD7">
        <w:t xml:space="preserve"> consumer protection</w:t>
      </w:r>
      <w:r>
        <w:t xml:space="preserve"> – </w:t>
      </w:r>
      <w:r w:rsidR="00254FD7">
        <w:t>RBI</w:t>
      </w:r>
      <w:r>
        <w:t xml:space="preserve"> - </w:t>
      </w:r>
      <w:r w:rsidR="00254FD7">
        <w:t xml:space="preserve"> cyber law</w:t>
      </w:r>
      <w:r>
        <w:t xml:space="preserve"> -</w:t>
      </w:r>
      <w:r w:rsidR="00254FD7">
        <w:t xml:space="preserve"> fintech regulation</w:t>
      </w:r>
      <w:r>
        <w:t xml:space="preserve"> - </w:t>
      </w:r>
      <w:r w:rsidR="00254FD7">
        <w:t>India.</w:t>
      </w:r>
    </w:p>
    <w:p w14:paraId="54513942"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1. Introduction</w:t>
      </w:r>
    </w:p>
    <w:p w14:paraId="4B0E8433"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The digitalisation of financial services in India has redefined the traditional contours of the banking sector. The proliferation of mobile payments, Artificial Intelligence (AI)-based lending models, cloud-based core banking systems, and the revolutionary Unified Payments Interface (UPI), have collectively heralded a new era of financial innovation. Digital banking has driven financial inclusion, streamlined service delivery, and generated competition among traditional and non-traditional financial institutions. However, this rapid transformation has simultaneously raised legal challenges relating to cyber-security risks, data protection, operational resilience, systemic stability, and consumer rights. India’s regulatory authorities, principally the Reserve Bank of India (RBI), have employed a reactive rather than a proactive approach, constantly recalibrating existing laws to meet technological disruptions. This paper seeks to analyse the evolving legal strategies adopted in India to balance risk management and </w:t>
      </w:r>
      <w:r w:rsidRPr="00254FD7">
        <w:rPr>
          <w:rFonts w:ascii="Times New Roman" w:hAnsi="Times New Roman" w:cs="Times New Roman"/>
          <w:sz w:val="24"/>
          <w:szCs w:val="24"/>
        </w:rPr>
        <w:lastRenderedPageBreak/>
        <w:t>consumer protection in digital banking, critically examining operational, regulatory, and legal concerns and proposing reforms geared towards anticipatory governance.</w:t>
      </w:r>
    </w:p>
    <w:p w14:paraId="06F26F99" w14:textId="31A5384C" w:rsidR="00254FD7" w:rsidRPr="00254FD7" w:rsidRDefault="00254FD7" w:rsidP="008D3D30">
      <w:pPr>
        <w:spacing w:line="360" w:lineRule="auto"/>
        <w:jc w:val="both"/>
        <w:rPr>
          <w:rFonts w:ascii="Times New Roman" w:hAnsi="Times New Roman" w:cs="Times New Roman"/>
          <w:sz w:val="24"/>
          <w:szCs w:val="24"/>
        </w:rPr>
      </w:pPr>
    </w:p>
    <w:p w14:paraId="1DAFF69C"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2. Evolution of Digital Banking in India</w:t>
      </w:r>
    </w:p>
    <w:p w14:paraId="5F4937EC"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Digital banking in India has evolved through a series of technological, regulatory and policy-driven transformations that began in the early 1990s following economic liberalisation. Traditional banks initially adopted computerisation and core-banking solutions to enable basic online services such as ATMs, internet banking, electronic fund transfers, and tele-banking. The launch of the </w:t>
      </w:r>
      <w:r w:rsidRPr="00254FD7">
        <w:rPr>
          <w:rFonts w:ascii="Times New Roman" w:hAnsi="Times New Roman" w:cs="Times New Roman"/>
          <w:b/>
          <w:bCs/>
          <w:sz w:val="24"/>
          <w:szCs w:val="24"/>
        </w:rPr>
        <w:t>Digital India Mission (2015)</w:t>
      </w:r>
      <w:r w:rsidRPr="00254FD7">
        <w:rPr>
          <w:rFonts w:ascii="Times New Roman" w:hAnsi="Times New Roman" w:cs="Times New Roman"/>
          <w:sz w:val="24"/>
          <w:szCs w:val="24"/>
        </w:rPr>
        <w:t xml:space="preserve"> and </w:t>
      </w:r>
      <w:r w:rsidRPr="00254FD7">
        <w:rPr>
          <w:rFonts w:ascii="Times New Roman" w:hAnsi="Times New Roman" w:cs="Times New Roman"/>
          <w:b/>
          <w:bCs/>
          <w:sz w:val="24"/>
          <w:szCs w:val="24"/>
        </w:rPr>
        <w:t>Jan-Dhan-Aadhaar-Mobile (JAM) trinity</w:t>
      </w:r>
      <w:r w:rsidRPr="00254FD7">
        <w:rPr>
          <w:rFonts w:ascii="Times New Roman" w:hAnsi="Times New Roman" w:cs="Times New Roman"/>
          <w:sz w:val="24"/>
          <w:szCs w:val="24"/>
        </w:rPr>
        <w:t xml:space="preserve"> marked a watershed moment by linking bank accounts to Aadhaar-based e-KYC, thereby expanding the customer base and enabling instant account openings. Innovations such as the </w:t>
      </w:r>
      <w:r w:rsidRPr="00254FD7">
        <w:rPr>
          <w:rFonts w:ascii="Times New Roman" w:hAnsi="Times New Roman" w:cs="Times New Roman"/>
          <w:b/>
          <w:bCs/>
          <w:sz w:val="24"/>
          <w:szCs w:val="24"/>
        </w:rPr>
        <w:t>Unified Payments Interface (UPI)</w:t>
      </w:r>
      <w:r w:rsidRPr="00254FD7">
        <w:rPr>
          <w:rFonts w:ascii="Times New Roman" w:hAnsi="Times New Roman" w:cs="Times New Roman"/>
          <w:sz w:val="24"/>
          <w:szCs w:val="24"/>
        </w:rPr>
        <w:t xml:space="preserve"> in 2016, </w:t>
      </w:r>
      <w:r w:rsidRPr="00254FD7">
        <w:rPr>
          <w:rFonts w:ascii="Times New Roman" w:hAnsi="Times New Roman" w:cs="Times New Roman"/>
          <w:b/>
          <w:bCs/>
          <w:sz w:val="24"/>
          <w:szCs w:val="24"/>
        </w:rPr>
        <w:t>Bharat Interface for Money (BHIM)</w:t>
      </w:r>
      <w:r w:rsidRPr="00254FD7">
        <w:rPr>
          <w:rFonts w:ascii="Times New Roman" w:hAnsi="Times New Roman" w:cs="Times New Roman"/>
          <w:sz w:val="24"/>
          <w:szCs w:val="24"/>
        </w:rPr>
        <w:t xml:space="preserve">, mobile wallets, QR-code-based payments and prepaid payment instruments significantly boosted retail digital payments. Concurrently, private fintech companies collaborated with banks to offer AI-driven lending, </w:t>
      </w:r>
      <w:proofErr w:type="spellStart"/>
      <w:r w:rsidRPr="00254FD7">
        <w:rPr>
          <w:rFonts w:ascii="Times New Roman" w:hAnsi="Times New Roman" w:cs="Times New Roman"/>
          <w:sz w:val="24"/>
          <w:szCs w:val="24"/>
        </w:rPr>
        <w:t>robo</w:t>
      </w:r>
      <w:proofErr w:type="spellEnd"/>
      <w:r w:rsidRPr="00254FD7">
        <w:rPr>
          <w:rFonts w:ascii="Times New Roman" w:hAnsi="Times New Roman" w:cs="Times New Roman"/>
          <w:sz w:val="24"/>
          <w:szCs w:val="24"/>
        </w:rPr>
        <w:t>-advisory services and neo-banking models, transforming customer service and credit delivery. Today, India stands as one of the world’s fastest growing digital banking markets where cloud computing, big data analytics and API-based open banking are being integrated into regulatory sandboxes under the Reserve Bank of India’s supervision, ushering in a new era of innovation-driven, inclusive finance.</w:t>
      </w:r>
    </w:p>
    <w:p w14:paraId="13B54FF0" w14:textId="08E2572A" w:rsidR="00254FD7" w:rsidRPr="00254FD7" w:rsidRDefault="00254FD7" w:rsidP="008D3D30">
      <w:pPr>
        <w:spacing w:line="360" w:lineRule="auto"/>
        <w:jc w:val="both"/>
        <w:rPr>
          <w:rFonts w:ascii="Times New Roman" w:hAnsi="Times New Roman" w:cs="Times New Roman"/>
          <w:sz w:val="24"/>
          <w:szCs w:val="24"/>
        </w:rPr>
      </w:pPr>
    </w:p>
    <w:p w14:paraId="2DC85ECA"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3. Regulatory Architecture Governing Digital Banking</w:t>
      </w:r>
    </w:p>
    <w:p w14:paraId="7AE9497D"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3.1 The Banking Regulation Act, 1949</w:t>
      </w:r>
    </w:p>
    <w:p w14:paraId="62B54601"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The Bank Regulation Act (BRA) remains the primary legislative framework governing banking activities in India. Although drafted prior to the digital age, Section 35A empowers the RBI to issue directions regulating the operations of banks, allowing sufficient flexibility to encompass digital products. Amendments in 2020 enabled the RBI to supervise co-operative banks, thereby extending regulatory coverage to smaller digital banking entities.</w:t>
      </w:r>
    </w:p>
    <w:p w14:paraId="5F4B8F78"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3.2 Payment and Settlement Systems Act, 2007</w:t>
      </w:r>
    </w:p>
    <w:p w14:paraId="70CBD924"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lastRenderedPageBreak/>
        <w:t>The Payment and Settlement Systems (PSS) Act creates the statutory basis for regulation of payment systems, authorising the RBI to operate and regulate all forms of electronic transactions. Issuers of e-wallets, PPI licensees, and UPI participants fall under its ambit.</w:t>
      </w:r>
    </w:p>
    <w:p w14:paraId="57561F28"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3.3 Information Technology Act, 2000</w:t>
      </w:r>
    </w:p>
    <w:p w14:paraId="1DF61CB9"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The Information Technology Act (IT Act) provides overarching legal validity to electronic contracts, digital signatures, and cyber security measures, further supported by Information Technology (Reasonable Security Practices and Procedures and Sensitive Personal Data or Information) Rules, 2011. It criminalises identity theft, hacking, computer-related fraud, and unauthorised data access — all centrally relevant to digital banking security.</w:t>
      </w:r>
    </w:p>
    <w:p w14:paraId="05B89ADC"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3.4 Master Directions &amp; Guidelines of RBI</w:t>
      </w:r>
    </w:p>
    <w:p w14:paraId="16199F80" w14:textId="77777777" w:rsidR="00254FD7" w:rsidRPr="00254FD7" w:rsidRDefault="00254FD7" w:rsidP="008D3D30">
      <w:pPr>
        <w:numPr>
          <w:ilvl w:val="0"/>
          <w:numId w:val="1"/>
        </w:numPr>
        <w:spacing w:line="360" w:lineRule="auto"/>
        <w:jc w:val="both"/>
        <w:rPr>
          <w:rFonts w:ascii="Times New Roman" w:hAnsi="Times New Roman" w:cs="Times New Roman"/>
          <w:sz w:val="24"/>
          <w:szCs w:val="24"/>
        </w:rPr>
      </w:pPr>
      <w:r w:rsidRPr="00254FD7">
        <w:rPr>
          <w:rFonts w:ascii="Times New Roman" w:hAnsi="Times New Roman" w:cs="Times New Roman"/>
          <w:i/>
          <w:iCs/>
          <w:sz w:val="24"/>
          <w:szCs w:val="24"/>
        </w:rPr>
        <w:t>Master Directions on Digital Payment Security Controls (2021)</w:t>
      </w:r>
      <w:r w:rsidRPr="00254FD7">
        <w:rPr>
          <w:rFonts w:ascii="Times New Roman" w:hAnsi="Times New Roman" w:cs="Times New Roman"/>
          <w:sz w:val="24"/>
          <w:szCs w:val="24"/>
        </w:rPr>
        <w:t xml:space="preserve"> mandate multi-factor authentication, tokenisation, encryption and risk-based transaction monitoring for regulated entities.</w:t>
      </w:r>
    </w:p>
    <w:p w14:paraId="7008A01A" w14:textId="77777777" w:rsidR="00254FD7" w:rsidRPr="00254FD7" w:rsidRDefault="00254FD7" w:rsidP="008D3D30">
      <w:pPr>
        <w:numPr>
          <w:ilvl w:val="0"/>
          <w:numId w:val="1"/>
        </w:numPr>
        <w:spacing w:line="360" w:lineRule="auto"/>
        <w:jc w:val="both"/>
        <w:rPr>
          <w:rFonts w:ascii="Times New Roman" w:hAnsi="Times New Roman" w:cs="Times New Roman"/>
          <w:sz w:val="24"/>
          <w:szCs w:val="24"/>
        </w:rPr>
      </w:pPr>
      <w:r w:rsidRPr="00254FD7">
        <w:rPr>
          <w:rFonts w:ascii="Times New Roman" w:hAnsi="Times New Roman" w:cs="Times New Roman"/>
          <w:i/>
          <w:iCs/>
          <w:sz w:val="24"/>
          <w:szCs w:val="24"/>
        </w:rPr>
        <w:t>Master Circular on Frauds (2016)</w:t>
      </w:r>
      <w:r w:rsidRPr="00254FD7">
        <w:rPr>
          <w:rFonts w:ascii="Times New Roman" w:hAnsi="Times New Roman" w:cs="Times New Roman"/>
          <w:sz w:val="24"/>
          <w:szCs w:val="24"/>
        </w:rPr>
        <w:t xml:space="preserve"> imposes obligations to report, detect and mitigate digital fraud.</w:t>
      </w:r>
    </w:p>
    <w:p w14:paraId="15F304E7" w14:textId="77777777" w:rsidR="00254FD7" w:rsidRPr="00254FD7" w:rsidRDefault="00254FD7" w:rsidP="008D3D30">
      <w:pPr>
        <w:numPr>
          <w:ilvl w:val="0"/>
          <w:numId w:val="1"/>
        </w:numPr>
        <w:spacing w:line="360" w:lineRule="auto"/>
        <w:jc w:val="both"/>
        <w:rPr>
          <w:rFonts w:ascii="Times New Roman" w:hAnsi="Times New Roman" w:cs="Times New Roman"/>
          <w:sz w:val="24"/>
          <w:szCs w:val="24"/>
        </w:rPr>
      </w:pPr>
      <w:r w:rsidRPr="00254FD7">
        <w:rPr>
          <w:rFonts w:ascii="Times New Roman" w:hAnsi="Times New Roman" w:cs="Times New Roman"/>
          <w:i/>
          <w:iCs/>
          <w:sz w:val="24"/>
          <w:szCs w:val="24"/>
        </w:rPr>
        <w:t>Guidelines on Regulation of Payment Aggregators and Payment Gateways (2020)</w:t>
      </w:r>
      <w:r w:rsidRPr="00254FD7">
        <w:rPr>
          <w:rFonts w:ascii="Times New Roman" w:hAnsi="Times New Roman" w:cs="Times New Roman"/>
          <w:sz w:val="24"/>
          <w:szCs w:val="24"/>
        </w:rPr>
        <w:t xml:space="preserve"> were issued to bind non-banks offering payment services.</w:t>
      </w:r>
    </w:p>
    <w:p w14:paraId="270FC459" w14:textId="3831DC81" w:rsidR="00254FD7" w:rsidRPr="00254FD7" w:rsidRDefault="00254FD7" w:rsidP="008D3D30">
      <w:pPr>
        <w:spacing w:line="360" w:lineRule="auto"/>
        <w:jc w:val="both"/>
        <w:rPr>
          <w:rFonts w:ascii="Times New Roman" w:hAnsi="Times New Roman" w:cs="Times New Roman"/>
          <w:sz w:val="24"/>
          <w:szCs w:val="24"/>
        </w:rPr>
      </w:pPr>
    </w:p>
    <w:p w14:paraId="22EC472D"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4. Risk Management in Digital Banking</w:t>
      </w:r>
    </w:p>
    <w:p w14:paraId="5D734FB4"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4.1 Cyber Security Risks</w:t>
      </w:r>
    </w:p>
    <w:p w14:paraId="2BC59BBC"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Digital banking is exposed to sophisticated cyber threats such as phishing, malware, SIM swapping and ransomware. Despite RBI circulars mandating banks to appoint Chief Information Security Officers (CISOs), implement Security Operations Centres (SOCs), and conduct periodic audits, the frequency of cyber incidents continues to rise. The </w:t>
      </w:r>
      <w:r w:rsidRPr="00254FD7">
        <w:rPr>
          <w:rFonts w:ascii="Times New Roman" w:hAnsi="Times New Roman" w:cs="Times New Roman"/>
          <w:i/>
          <w:iCs/>
          <w:sz w:val="24"/>
          <w:szCs w:val="24"/>
        </w:rPr>
        <w:t>Cosmos Bank</w:t>
      </w:r>
      <w:r w:rsidRPr="00254FD7">
        <w:rPr>
          <w:rFonts w:ascii="Times New Roman" w:hAnsi="Times New Roman" w:cs="Times New Roman"/>
          <w:sz w:val="24"/>
          <w:szCs w:val="24"/>
        </w:rPr>
        <w:t xml:space="preserve"> breach of 2018 involving SWIFT systems, and recent UPI frauds, illustrate systemic vulnerabilities.</w:t>
      </w:r>
    </w:p>
    <w:p w14:paraId="56F451FD"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4.2 Operational Risks</w:t>
      </w:r>
    </w:p>
    <w:p w14:paraId="75FA36D1"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lastRenderedPageBreak/>
        <w:t>Technological and process-related failures in digital systems may halt services and jeopardise consumer confidence. RBI’s directive in July 2022 compelling HDFC Bank to temporarily stop issuance of new credit cards due to repeated outages reflects strict operational risk regulation.</w:t>
      </w:r>
    </w:p>
    <w:p w14:paraId="1B15DCF3"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4.3 Third-party and Outsourcing Risks</w:t>
      </w:r>
    </w:p>
    <w:p w14:paraId="30CA14D8"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Bank–fintech partnerships raise concerns relating to dilution of accountability. Under the </w:t>
      </w:r>
      <w:r w:rsidRPr="00254FD7">
        <w:rPr>
          <w:rFonts w:ascii="Times New Roman" w:hAnsi="Times New Roman" w:cs="Times New Roman"/>
          <w:i/>
          <w:iCs/>
          <w:sz w:val="24"/>
          <w:szCs w:val="24"/>
        </w:rPr>
        <w:t>Outsourcing Directions (2023)</w:t>
      </w:r>
      <w:r w:rsidRPr="00254FD7">
        <w:rPr>
          <w:rFonts w:ascii="Times New Roman" w:hAnsi="Times New Roman" w:cs="Times New Roman"/>
          <w:sz w:val="24"/>
          <w:szCs w:val="24"/>
        </w:rPr>
        <w:t xml:space="preserve">, the RBI holds banks ultimately responsible for lapses arising from third-party technical vendors. The legal principle of </w:t>
      </w:r>
      <w:r w:rsidRPr="00254FD7">
        <w:rPr>
          <w:rFonts w:ascii="Times New Roman" w:hAnsi="Times New Roman" w:cs="Times New Roman"/>
          <w:i/>
          <w:iCs/>
          <w:sz w:val="24"/>
          <w:szCs w:val="24"/>
        </w:rPr>
        <w:t>non-delegable fiduciary duty</w:t>
      </w:r>
      <w:r w:rsidRPr="00254FD7">
        <w:rPr>
          <w:rFonts w:ascii="Times New Roman" w:hAnsi="Times New Roman" w:cs="Times New Roman"/>
          <w:sz w:val="24"/>
          <w:szCs w:val="24"/>
        </w:rPr>
        <w:t xml:space="preserve"> underscores this supervisory approach.</w:t>
      </w:r>
    </w:p>
    <w:p w14:paraId="538E6FA5"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4.4 Regulatory and Compliance Risks</w:t>
      </w:r>
    </w:p>
    <w:p w14:paraId="1A5DEA3B"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Regulation has struggled to keep pace with innovations in AI-driven products. Algorithmic bias in credit scoring and opaque decision-making processes raise novel regulatory concerns. Currently, RBI lacks explicit AI governance rules, and there is a growing need to ensure auditability, explainability, and non-discrimination.</w:t>
      </w:r>
    </w:p>
    <w:p w14:paraId="1FEF9262" w14:textId="14C7F8B0" w:rsidR="00254FD7" w:rsidRPr="00254FD7" w:rsidRDefault="00254FD7" w:rsidP="008D3D30">
      <w:pPr>
        <w:spacing w:line="360" w:lineRule="auto"/>
        <w:jc w:val="both"/>
        <w:rPr>
          <w:rFonts w:ascii="Times New Roman" w:hAnsi="Times New Roman" w:cs="Times New Roman"/>
          <w:sz w:val="24"/>
          <w:szCs w:val="24"/>
        </w:rPr>
      </w:pPr>
    </w:p>
    <w:p w14:paraId="44CF6EE0"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5. Consumer Protection</w:t>
      </w:r>
    </w:p>
    <w:p w14:paraId="64DD66D5"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5.1 Legal Framework</w:t>
      </w:r>
    </w:p>
    <w:p w14:paraId="57C43F07" w14:textId="77777777" w:rsid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Consumer protection in India’s digital banking sector operates under a multi-layered legal framework designed to safeguard users’ interests as financial services increasingly move online. </w:t>
      </w:r>
    </w:p>
    <w:p w14:paraId="4F0F0E1C" w14:textId="77777777" w:rsidR="00254FD7" w:rsidRDefault="00254FD7" w:rsidP="008D3D30">
      <w:pPr>
        <w:pStyle w:val="ListParagraph"/>
        <w:numPr>
          <w:ilvl w:val="0"/>
          <w:numId w:val="4"/>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The </w:t>
      </w:r>
      <w:r w:rsidRPr="00254FD7">
        <w:rPr>
          <w:rFonts w:ascii="Times New Roman" w:hAnsi="Times New Roman" w:cs="Times New Roman"/>
          <w:b/>
          <w:bCs/>
          <w:sz w:val="24"/>
          <w:szCs w:val="24"/>
        </w:rPr>
        <w:t>RBI’s Ombudsman Scheme for Digital Transactions, 2019</w:t>
      </w:r>
      <w:r w:rsidRPr="00254FD7">
        <w:rPr>
          <w:rFonts w:ascii="Times New Roman" w:hAnsi="Times New Roman" w:cs="Times New Roman"/>
          <w:sz w:val="24"/>
          <w:szCs w:val="24"/>
        </w:rPr>
        <w:t xml:space="preserve"> provides a cost-free, specialised grievance redress mechanism where customers can lodge complaints related to unauthorised electronic payments, delays, and service deficiencies by system participants such as banks, mobile wallet providers and UPI facilitators. </w:t>
      </w:r>
    </w:p>
    <w:p w14:paraId="18E6ED82" w14:textId="77777777" w:rsidR="00254FD7" w:rsidRDefault="00254FD7" w:rsidP="008D3D30">
      <w:pPr>
        <w:pStyle w:val="ListParagraph"/>
        <w:numPr>
          <w:ilvl w:val="0"/>
          <w:numId w:val="4"/>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To streamline and strengthen oversight, the Reserve Bank introduced the </w:t>
      </w:r>
      <w:r w:rsidRPr="00254FD7">
        <w:rPr>
          <w:rFonts w:ascii="Times New Roman" w:hAnsi="Times New Roman" w:cs="Times New Roman"/>
          <w:b/>
          <w:bCs/>
          <w:sz w:val="24"/>
          <w:szCs w:val="24"/>
        </w:rPr>
        <w:t>Integrated Ombudsman Scheme, 2021</w:t>
      </w:r>
      <w:r w:rsidRPr="00254FD7">
        <w:rPr>
          <w:rFonts w:ascii="Times New Roman" w:hAnsi="Times New Roman" w:cs="Times New Roman"/>
          <w:sz w:val="24"/>
          <w:szCs w:val="24"/>
        </w:rPr>
        <w:t xml:space="preserve">, which consolidates earlier ombudsman schemes into a single and simplified structure, offering uniform protection across all regulated entities. </w:t>
      </w:r>
    </w:p>
    <w:p w14:paraId="1B4E868C" w14:textId="77777777" w:rsidR="00254FD7" w:rsidRDefault="00254FD7" w:rsidP="008D3D30">
      <w:pPr>
        <w:pStyle w:val="ListParagraph"/>
        <w:numPr>
          <w:ilvl w:val="0"/>
          <w:numId w:val="4"/>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Alongside these sector-specific mechanisms, the </w:t>
      </w:r>
      <w:r w:rsidRPr="00254FD7">
        <w:rPr>
          <w:rFonts w:ascii="Times New Roman" w:hAnsi="Times New Roman" w:cs="Times New Roman"/>
          <w:b/>
          <w:bCs/>
          <w:sz w:val="24"/>
          <w:szCs w:val="24"/>
        </w:rPr>
        <w:t>Consumer Protection Act, 2019</w:t>
      </w:r>
      <w:r w:rsidRPr="00254FD7">
        <w:rPr>
          <w:rFonts w:ascii="Times New Roman" w:hAnsi="Times New Roman" w:cs="Times New Roman"/>
          <w:sz w:val="24"/>
          <w:szCs w:val="24"/>
        </w:rPr>
        <w:t xml:space="preserve"> plays a foundational role by covering product liability of service providers and extending its provisions to include e-commerce rules, thereby making digital banking platforms accountable for deficiencies in service. </w:t>
      </w:r>
    </w:p>
    <w:p w14:paraId="064BA136" w14:textId="77777777" w:rsidR="00254FD7" w:rsidRDefault="00254FD7" w:rsidP="008D3D30">
      <w:pPr>
        <w:pStyle w:val="ListParagraph"/>
        <w:numPr>
          <w:ilvl w:val="0"/>
          <w:numId w:val="4"/>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lastRenderedPageBreak/>
        <w:t xml:space="preserve">Complementing these is the </w:t>
      </w:r>
      <w:r w:rsidRPr="00254FD7">
        <w:rPr>
          <w:rFonts w:ascii="Times New Roman" w:hAnsi="Times New Roman" w:cs="Times New Roman"/>
          <w:b/>
          <w:bCs/>
          <w:sz w:val="24"/>
          <w:szCs w:val="24"/>
        </w:rPr>
        <w:t>Information Technology Act, 2000</w:t>
      </w:r>
      <w:r w:rsidRPr="00254FD7">
        <w:rPr>
          <w:rFonts w:ascii="Times New Roman" w:hAnsi="Times New Roman" w:cs="Times New Roman"/>
          <w:sz w:val="24"/>
          <w:szCs w:val="24"/>
        </w:rPr>
        <w:t>, which underpins online financial transactions by criminalising hacking, identity theft, unauthorised access and other online abuses that threaten the security and privacy of digital banking consumers.</w:t>
      </w:r>
    </w:p>
    <w:p w14:paraId="491B41F1" w14:textId="17FDFFD1" w:rsidR="00254FD7" w:rsidRPr="00254FD7" w:rsidRDefault="00254FD7" w:rsidP="008D3D30">
      <w:pPr>
        <w:pStyle w:val="ListParagraph"/>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5.2 Redress Mechanisms</w:t>
      </w:r>
    </w:p>
    <w:p w14:paraId="35BD9CEF" w14:textId="1E745582" w:rsidR="00254FD7" w:rsidRPr="00254FD7" w:rsidRDefault="00254FD7" w:rsidP="008D3D3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54FD7">
        <w:rPr>
          <w:rFonts w:ascii="Times New Roman" w:hAnsi="Times New Roman" w:cs="Times New Roman"/>
          <w:sz w:val="24"/>
          <w:szCs w:val="24"/>
        </w:rPr>
        <w:t>The Ombudsman Scheme enables cost-free, quasi-judicial remedy for consumers facing issues related to unauthorised electronic transactions, delays, mis-selling, or non-adherence to RBI directions. However, despite the simplified procedure, awareness and accessibility remain limited. The RBI has piloted Chatbot-based assistance and artificial intelligence-enabled grievance handling.</w:t>
      </w:r>
    </w:p>
    <w:p w14:paraId="463A4342"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5.3 Data Privacy Concerns</w:t>
      </w:r>
    </w:p>
    <w:p w14:paraId="44330AED" w14:textId="70011B3D" w:rsidR="00254FD7" w:rsidRPr="00254FD7" w:rsidRDefault="00254FD7" w:rsidP="008D3D3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54FD7">
        <w:rPr>
          <w:rFonts w:ascii="Times New Roman" w:hAnsi="Times New Roman" w:cs="Times New Roman"/>
          <w:sz w:val="24"/>
          <w:szCs w:val="24"/>
        </w:rPr>
        <w:t xml:space="preserve">India presently lacks a dedicated data protection statute. In the absence of the long-pending </w:t>
      </w:r>
      <w:r w:rsidRPr="00254FD7">
        <w:rPr>
          <w:rFonts w:ascii="Times New Roman" w:hAnsi="Times New Roman" w:cs="Times New Roman"/>
          <w:i/>
          <w:iCs/>
          <w:sz w:val="24"/>
          <w:szCs w:val="24"/>
        </w:rPr>
        <w:t>Digital Personal Data Protection Bill, 2023</w:t>
      </w:r>
      <w:r w:rsidRPr="00254FD7">
        <w:rPr>
          <w:rFonts w:ascii="Times New Roman" w:hAnsi="Times New Roman" w:cs="Times New Roman"/>
          <w:sz w:val="24"/>
          <w:szCs w:val="24"/>
        </w:rPr>
        <w:t>, sensitive financial data held by digital banks is prone to misuse. Cases of unauthorised sharing of customer data with lending apps, spam calls and data scraping by payment aggregators highlight these vulnerabilities. Consumers have limited recourse, as the IT Rules establish only weak consent standards.</w:t>
      </w:r>
    </w:p>
    <w:p w14:paraId="7536F8AA" w14:textId="1EFBB8D1" w:rsidR="00254FD7" w:rsidRPr="00254FD7" w:rsidRDefault="00254FD7" w:rsidP="008D3D30">
      <w:pPr>
        <w:spacing w:line="360" w:lineRule="auto"/>
        <w:jc w:val="both"/>
        <w:rPr>
          <w:rFonts w:ascii="Times New Roman" w:hAnsi="Times New Roman" w:cs="Times New Roman"/>
          <w:sz w:val="24"/>
          <w:szCs w:val="24"/>
        </w:rPr>
      </w:pPr>
    </w:p>
    <w:p w14:paraId="58EE9867"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6. Comparative International Perspectives</w:t>
      </w:r>
    </w:p>
    <w:p w14:paraId="545990FE"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6.1 European Union (PSD2)</w:t>
      </w:r>
    </w:p>
    <w:p w14:paraId="0B1C377E"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The Revised Payment Services Directive (PSD2) requires strong customer authentication, permits open banking through APIs, and holds payment service providers accountable for fraud unless gross negligence is demonstrated by consumers. Data-sharing rules are shaped by the GDPR.</w:t>
      </w:r>
    </w:p>
    <w:p w14:paraId="5489A0BC"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6.2 United States (CFPB)</w:t>
      </w:r>
    </w:p>
    <w:p w14:paraId="3EE81C78"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The Consumer Financial Protection Bureau (CFPB) regulates digital financial products through disclosure obligations, supervisory enforcement, and consumer restitution orders. Fraud liability is capped under the Electronic Fund Transfer Act (EFTA), fostering robust consumer trust.</w:t>
      </w:r>
    </w:p>
    <w:p w14:paraId="69990F11"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6.3 Lessons for India</w:t>
      </w:r>
    </w:p>
    <w:p w14:paraId="2FE3F976"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lastRenderedPageBreak/>
        <w:t xml:space="preserve">India can draw lessons regarding explicit liability allocation, open application standards, and inclusion of </w:t>
      </w:r>
      <w:proofErr w:type="spellStart"/>
      <w:r w:rsidRPr="00254FD7">
        <w:rPr>
          <w:rFonts w:ascii="Times New Roman" w:hAnsi="Times New Roman" w:cs="Times New Roman"/>
          <w:sz w:val="24"/>
          <w:szCs w:val="24"/>
        </w:rPr>
        <w:t>fintechs</w:t>
      </w:r>
      <w:proofErr w:type="spellEnd"/>
      <w:r w:rsidRPr="00254FD7">
        <w:rPr>
          <w:rFonts w:ascii="Times New Roman" w:hAnsi="Times New Roman" w:cs="Times New Roman"/>
          <w:sz w:val="24"/>
          <w:szCs w:val="24"/>
        </w:rPr>
        <w:t xml:space="preserve"> as regulated entities instead of treating them as unregulated collaborators. Harmonisation of data privacy frameworks with financial regulations is essential.</w:t>
      </w:r>
    </w:p>
    <w:p w14:paraId="57E5E820" w14:textId="76EAB75B" w:rsidR="00254FD7" w:rsidRPr="00254FD7" w:rsidRDefault="00254FD7" w:rsidP="008D3D30">
      <w:pPr>
        <w:spacing w:line="360" w:lineRule="auto"/>
        <w:jc w:val="both"/>
        <w:rPr>
          <w:rFonts w:ascii="Times New Roman" w:hAnsi="Times New Roman" w:cs="Times New Roman"/>
          <w:sz w:val="24"/>
          <w:szCs w:val="24"/>
        </w:rPr>
      </w:pPr>
    </w:p>
    <w:p w14:paraId="2A06FFAC"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7. Judicial Responses and Enforcement</w:t>
      </w:r>
    </w:p>
    <w:p w14:paraId="5A1B35F2" w14:textId="77777777" w:rsidR="008D3D30"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Judicial pronouncements have significantly shaped digital banking regulation. </w:t>
      </w:r>
    </w:p>
    <w:p w14:paraId="698B4079" w14:textId="45C96457" w:rsidR="00254FD7" w:rsidRPr="008D3D30" w:rsidRDefault="00254FD7" w:rsidP="008D3D30">
      <w:pPr>
        <w:pStyle w:val="ListParagraph"/>
        <w:numPr>
          <w:ilvl w:val="0"/>
          <w:numId w:val="5"/>
        </w:numPr>
        <w:spacing w:line="360" w:lineRule="auto"/>
        <w:jc w:val="both"/>
        <w:rPr>
          <w:rFonts w:ascii="Times New Roman" w:hAnsi="Times New Roman" w:cs="Times New Roman"/>
          <w:sz w:val="24"/>
          <w:szCs w:val="24"/>
        </w:rPr>
      </w:pPr>
      <w:r w:rsidRPr="008D3D30">
        <w:rPr>
          <w:rFonts w:ascii="Times New Roman" w:hAnsi="Times New Roman" w:cs="Times New Roman"/>
          <w:sz w:val="24"/>
          <w:szCs w:val="24"/>
        </w:rPr>
        <w:t xml:space="preserve">In </w:t>
      </w:r>
      <w:r w:rsidRPr="008D3D30">
        <w:rPr>
          <w:rFonts w:ascii="Times New Roman" w:hAnsi="Times New Roman" w:cs="Times New Roman"/>
          <w:b/>
          <w:bCs/>
          <w:i/>
          <w:iCs/>
          <w:sz w:val="24"/>
          <w:szCs w:val="24"/>
        </w:rPr>
        <w:t>Reserve Bank of India v. Jayantilal N. Mistry (2015)</w:t>
      </w:r>
      <w:r w:rsidRPr="008D3D30">
        <w:rPr>
          <w:rFonts w:ascii="Times New Roman" w:hAnsi="Times New Roman" w:cs="Times New Roman"/>
          <w:b/>
          <w:bCs/>
          <w:sz w:val="24"/>
          <w:szCs w:val="24"/>
        </w:rPr>
        <w:t xml:space="preserve">, </w:t>
      </w:r>
      <w:r w:rsidRPr="008D3D30">
        <w:rPr>
          <w:rFonts w:ascii="Times New Roman" w:hAnsi="Times New Roman" w:cs="Times New Roman"/>
          <w:sz w:val="24"/>
          <w:szCs w:val="24"/>
        </w:rPr>
        <w:t>the Supreme Court held that RBI’s regulatory actions are subject to transparency under the Right to Information Act, enhancing accountability. More recently, High Courts have directed banks to refund unauthorised online transfers where negligence is shown.</w:t>
      </w:r>
    </w:p>
    <w:p w14:paraId="76C23999" w14:textId="77777777" w:rsidR="008D3D30" w:rsidRPr="008D3D30" w:rsidRDefault="008D3D30" w:rsidP="008D3D30">
      <w:pPr>
        <w:pStyle w:val="ListParagraph"/>
        <w:numPr>
          <w:ilvl w:val="0"/>
          <w:numId w:val="5"/>
        </w:numPr>
        <w:spacing w:line="360" w:lineRule="auto"/>
        <w:jc w:val="both"/>
        <w:rPr>
          <w:rFonts w:ascii="Times New Roman" w:hAnsi="Times New Roman" w:cs="Times New Roman"/>
          <w:b/>
          <w:bCs/>
          <w:sz w:val="24"/>
          <w:szCs w:val="24"/>
        </w:rPr>
      </w:pPr>
      <w:r w:rsidRPr="008D3D30">
        <w:rPr>
          <w:rFonts w:ascii="Times New Roman" w:hAnsi="Times New Roman" w:cs="Times New Roman"/>
          <w:b/>
          <w:bCs/>
          <w:sz w:val="24"/>
          <w:szCs w:val="24"/>
        </w:rPr>
        <w:t xml:space="preserve">State Bank of India v. Rajesh Agarwal, </w:t>
      </w:r>
      <w:r w:rsidRPr="008D3D30">
        <w:rPr>
          <w:rFonts w:ascii="Times New Roman" w:hAnsi="Times New Roman" w:cs="Times New Roman"/>
          <w:sz w:val="24"/>
          <w:szCs w:val="24"/>
        </w:rPr>
        <w:t>The Court ruled that banks must provide a fair opportunity for borrowers to be heard before classifying an account as a "fraud." This judgment emphasized adherence to principles of natural justice when reporting fraud—banks cannot unilaterally label cases as fraud without due process. The judgment now serves as precedent for numerous high court rulings reaffirming procedural fairness.</w:t>
      </w:r>
    </w:p>
    <w:p w14:paraId="14F9A882" w14:textId="77777777" w:rsidR="008D3D30" w:rsidRPr="008D3D30" w:rsidRDefault="008D3D30" w:rsidP="008D3D30">
      <w:pPr>
        <w:pStyle w:val="ListParagraph"/>
        <w:numPr>
          <w:ilvl w:val="0"/>
          <w:numId w:val="5"/>
        </w:numPr>
        <w:spacing w:line="360" w:lineRule="auto"/>
        <w:jc w:val="both"/>
        <w:rPr>
          <w:rFonts w:ascii="Times New Roman" w:hAnsi="Times New Roman" w:cs="Times New Roman"/>
          <w:b/>
          <w:bCs/>
          <w:sz w:val="24"/>
          <w:szCs w:val="24"/>
        </w:rPr>
      </w:pPr>
      <w:r w:rsidRPr="008D3D30">
        <w:rPr>
          <w:rFonts w:ascii="Times New Roman" w:hAnsi="Times New Roman" w:cs="Times New Roman"/>
          <w:b/>
          <w:bCs/>
          <w:sz w:val="24"/>
          <w:szCs w:val="24"/>
        </w:rPr>
        <w:t>Supreme Court Mandates Bank Liability for Unauthorized Transactions</w:t>
      </w:r>
      <w:r>
        <w:rPr>
          <w:rFonts w:ascii="Times New Roman" w:hAnsi="Times New Roman" w:cs="Times New Roman"/>
          <w:b/>
          <w:bCs/>
          <w:sz w:val="24"/>
          <w:szCs w:val="24"/>
        </w:rPr>
        <w:t xml:space="preserve">, </w:t>
      </w:r>
      <w:proofErr w:type="gramStart"/>
      <w:r w:rsidRPr="008D3D30">
        <w:rPr>
          <w:rFonts w:ascii="Times New Roman" w:hAnsi="Times New Roman" w:cs="Times New Roman"/>
          <w:sz w:val="24"/>
          <w:szCs w:val="24"/>
        </w:rPr>
        <w:t>In</w:t>
      </w:r>
      <w:proofErr w:type="gramEnd"/>
      <w:r w:rsidRPr="008D3D30">
        <w:rPr>
          <w:rFonts w:ascii="Times New Roman" w:hAnsi="Times New Roman" w:cs="Times New Roman"/>
          <w:sz w:val="24"/>
          <w:szCs w:val="24"/>
        </w:rPr>
        <w:t xml:space="preserve"> a landmark ruling, the Supreme Court upheld a </w:t>
      </w:r>
      <w:proofErr w:type="spellStart"/>
      <w:r w:rsidRPr="008D3D30">
        <w:rPr>
          <w:rFonts w:ascii="Times New Roman" w:hAnsi="Times New Roman" w:cs="Times New Roman"/>
          <w:sz w:val="24"/>
          <w:szCs w:val="24"/>
        </w:rPr>
        <w:t>Gauhati</w:t>
      </w:r>
      <w:proofErr w:type="spellEnd"/>
      <w:r w:rsidRPr="008D3D30">
        <w:rPr>
          <w:rFonts w:ascii="Times New Roman" w:hAnsi="Times New Roman" w:cs="Times New Roman"/>
          <w:sz w:val="24"/>
          <w:szCs w:val="24"/>
        </w:rPr>
        <w:t xml:space="preserve"> High Court ruling requiring banks (such as SBI) to fully refund customers for fraudulent or unauthorized transactions, unless they provide concrete evidence of the customer's negligence. The judgment reinforces the "zero liability" principle in digital transactions, shifting the onus to banks to validate any claim of customer fault.</w:t>
      </w:r>
    </w:p>
    <w:p w14:paraId="2C83D438" w14:textId="77777777" w:rsidR="008D3D30" w:rsidRPr="008D3D30" w:rsidRDefault="008D3D30" w:rsidP="008D3D30">
      <w:pPr>
        <w:pStyle w:val="ListParagraph"/>
        <w:numPr>
          <w:ilvl w:val="0"/>
          <w:numId w:val="5"/>
        </w:numPr>
        <w:spacing w:line="360" w:lineRule="auto"/>
        <w:jc w:val="both"/>
        <w:rPr>
          <w:rFonts w:ascii="Times New Roman" w:hAnsi="Times New Roman" w:cs="Times New Roman"/>
          <w:b/>
          <w:bCs/>
          <w:sz w:val="24"/>
          <w:szCs w:val="24"/>
        </w:rPr>
      </w:pPr>
      <w:r w:rsidRPr="008D3D30">
        <w:rPr>
          <w:rFonts w:ascii="Times New Roman" w:hAnsi="Times New Roman" w:cs="Times New Roman"/>
          <w:b/>
          <w:bCs/>
          <w:sz w:val="24"/>
          <w:szCs w:val="24"/>
        </w:rPr>
        <w:t>Pragya Prasun &amp; Ors. vs. UOI &amp; Ors. and Related Cases (April 2025)</w:t>
      </w:r>
      <w:r>
        <w:rPr>
          <w:rFonts w:ascii="Times New Roman" w:hAnsi="Times New Roman" w:cs="Times New Roman"/>
          <w:b/>
          <w:bCs/>
          <w:sz w:val="24"/>
          <w:szCs w:val="24"/>
        </w:rPr>
        <w:t>,</w:t>
      </w:r>
      <w:r w:rsidRPr="008D3D30">
        <w:rPr>
          <w:rFonts w:ascii="Times New Roman" w:hAnsi="Times New Roman" w:cs="Times New Roman"/>
          <w:sz w:val="24"/>
          <w:szCs w:val="24"/>
        </w:rPr>
        <w:t xml:space="preserve"> The Court declared that </w:t>
      </w:r>
      <w:r w:rsidRPr="008D3D30">
        <w:rPr>
          <w:rFonts w:ascii="Times New Roman" w:hAnsi="Times New Roman" w:cs="Times New Roman"/>
          <w:i/>
          <w:iCs/>
          <w:sz w:val="24"/>
          <w:szCs w:val="24"/>
        </w:rPr>
        <w:t>digital access</w:t>
      </w:r>
      <w:r w:rsidRPr="008D3D30">
        <w:rPr>
          <w:rFonts w:ascii="Times New Roman" w:hAnsi="Times New Roman" w:cs="Times New Roman"/>
          <w:sz w:val="24"/>
          <w:szCs w:val="24"/>
        </w:rPr>
        <w:t xml:space="preserve">, including the ability to complete digital KYC, is an intrinsic component of the </w:t>
      </w:r>
      <w:r w:rsidRPr="008D3D30">
        <w:rPr>
          <w:rFonts w:ascii="Times New Roman" w:hAnsi="Times New Roman" w:cs="Times New Roman"/>
          <w:b/>
          <w:bCs/>
          <w:sz w:val="24"/>
          <w:szCs w:val="24"/>
        </w:rPr>
        <w:t>right to life and liberty (Article 21)</w:t>
      </w:r>
      <w:r w:rsidRPr="008D3D30">
        <w:rPr>
          <w:rFonts w:ascii="Times New Roman" w:hAnsi="Times New Roman" w:cs="Times New Roman"/>
          <w:sz w:val="24"/>
          <w:szCs w:val="24"/>
        </w:rPr>
        <w:t>. The judgment mandates accessible alternatives for individuals with disabilities (e.g., acid attack survivors, blind persons), including digital KYC accommodations, dedicated helplines, accessibility audits, and human review mechanisms.</w:t>
      </w:r>
    </w:p>
    <w:p w14:paraId="3430B15E" w14:textId="6BBF7C87" w:rsidR="008D3D30" w:rsidRPr="008D3D30" w:rsidRDefault="008D3D30" w:rsidP="008D3D30">
      <w:pPr>
        <w:pStyle w:val="ListParagraph"/>
        <w:numPr>
          <w:ilvl w:val="0"/>
          <w:numId w:val="5"/>
        </w:numPr>
        <w:spacing w:line="360" w:lineRule="auto"/>
        <w:jc w:val="both"/>
        <w:rPr>
          <w:rFonts w:ascii="Times New Roman" w:hAnsi="Times New Roman" w:cs="Times New Roman"/>
          <w:b/>
          <w:bCs/>
          <w:sz w:val="24"/>
          <w:szCs w:val="24"/>
        </w:rPr>
      </w:pPr>
      <w:r w:rsidRPr="008D3D30">
        <w:rPr>
          <w:rFonts w:ascii="Times New Roman" w:hAnsi="Times New Roman" w:cs="Times New Roman"/>
          <w:b/>
          <w:bCs/>
          <w:sz w:val="24"/>
          <w:szCs w:val="24"/>
        </w:rPr>
        <w:t>Citicorp Consumer Rights Case (July 2025)</w:t>
      </w:r>
      <w:r>
        <w:rPr>
          <w:rFonts w:ascii="Times New Roman" w:hAnsi="Times New Roman" w:cs="Times New Roman"/>
          <w:b/>
          <w:bCs/>
          <w:sz w:val="24"/>
          <w:szCs w:val="24"/>
        </w:rPr>
        <w:t xml:space="preserve">, </w:t>
      </w:r>
      <w:r w:rsidRPr="008D3D30">
        <w:rPr>
          <w:rFonts w:ascii="Times New Roman" w:hAnsi="Times New Roman" w:cs="Times New Roman"/>
          <w:sz w:val="24"/>
          <w:szCs w:val="24"/>
        </w:rPr>
        <w:t xml:space="preserve">The Supreme Court clarified that consumers retain the right to file complaints in consumer forums </w:t>
      </w:r>
      <w:r w:rsidRPr="008D3D30">
        <w:rPr>
          <w:rFonts w:ascii="Times New Roman" w:hAnsi="Times New Roman" w:cs="Times New Roman"/>
          <w:b/>
          <w:bCs/>
          <w:sz w:val="24"/>
          <w:szCs w:val="24"/>
        </w:rPr>
        <w:t>even if an arbitration clause</w:t>
      </w:r>
      <w:r w:rsidRPr="008D3D30">
        <w:rPr>
          <w:rFonts w:ascii="Times New Roman" w:hAnsi="Times New Roman" w:cs="Times New Roman"/>
          <w:sz w:val="24"/>
          <w:szCs w:val="24"/>
        </w:rPr>
        <w:t xml:space="preserve"> exists in the contract. The consumer cannot be forced to choose arbitration—it </w:t>
      </w:r>
      <w:r w:rsidRPr="008D3D30">
        <w:rPr>
          <w:rFonts w:ascii="Times New Roman" w:hAnsi="Times New Roman" w:cs="Times New Roman"/>
          <w:sz w:val="24"/>
          <w:szCs w:val="24"/>
        </w:rPr>
        <w:lastRenderedPageBreak/>
        <w:t>remains their exclusive choice. The Court also emphasized that consumer forums must record reasoning for condoning delayed filings, particularly in long-drawn disputes.</w:t>
      </w:r>
    </w:p>
    <w:p w14:paraId="7D31B229" w14:textId="77777777" w:rsidR="008D3D30" w:rsidRPr="00254FD7" w:rsidRDefault="008D3D30" w:rsidP="008D3D30">
      <w:pPr>
        <w:spacing w:line="360" w:lineRule="auto"/>
        <w:jc w:val="both"/>
        <w:rPr>
          <w:rFonts w:ascii="Times New Roman" w:hAnsi="Times New Roman" w:cs="Times New Roman"/>
          <w:sz w:val="24"/>
          <w:szCs w:val="24"/>
        </w:rPr>
      </w:pPr>
    </w:p>
    <w:p w14:paraId="1E355DBE"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The RBI has imposed penalties on Paytm Payments Bank and Mastercard for non-compliance with data localisation directives under Section 30 of the PSS Act and Section 46 of the BRA. However, enforcement remains inconsistent, with delays in action reducing deterrence.</w:t>
      </w:r>
    </w:p>
    <w:p w14:paraId="0059F833" w14:textId="5F40B5DF" w:rsidR="00254FD7" w:rsidRPr="00254FD7" w:rsidRDefault="00254FD7" w:rsidP="008D3D30">
      <w:pPr>
        <w:spacing w:line="360" w:lineRule="auto"/>
        <w:jc w:val="both"/>
        <w:rPr>
          <w:rFonts w:ascii="Times New Roman" w:hAnsi="Times New Roman" w:cs="Times New Roman"/>
          <w:sz w:val="24"/>
          <w:szCs w:val="24"/>
        </w:rPr>
      </w:pPr>
    </w:p>
    <w:p w14:paraId="16937C85"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8. Policy and Legal Reforms: The Way Forward</w:t>
      </w:r>
    </w:p>
    <w:p w14:paraId="331CB271"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8.1 Technology-Neutral Laws</w:t>
      </w:r>
    </w:p>
    <w:p w14:paraId="6EF65CC4"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Laws need to be drafted using principle-based, technology-neutral language to ensure adaptability. For instance, imposing general duties to ensure “reasonable security controls” offers flexibility while retaining enforceability.</w:t>
      </w:r>
    </w:p>
    <w:p w14:paraId="7C51B4B3"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8.2 Mandatory Cyber Audits and Reporting</w:t>
      </w:r>
    </w:p>
    <w:p w14:paraId="658E2DA3"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Annual audits, stress-tests, and compulsory reporting of cyber incidents should be legislated through a new Digital Banking Regulation Act. Non-compliant entities must be subject to tiered penalties and licence revocations.</w:t>
      </w:r>
    </w:p>
    <w:p w14:paraId="1A79B4BD"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8.3 Strengthening KYC and AML Norms</w:t>
      </w:r>
    </w:p>
    <w:p w14:paraId="4A176710"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Robust e-KYC procedures integrating biometric authentication with risk-based profiling can reduce fraud. Banks should leverage advanced technological tools for real-time suspicious transaction monitoring.</w:t>
      </w:r>
    </w:p>
    <w:p w14:paraId="7ED9B7AF"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8.4 Inclusive Consumer Protection</w:t>
      </w:r>
    </w:p>
    <w:p w14:paraId="0168C3D7"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Tech-enabled grievance redress mechanisms such as AI-driven ombudsman platforms can expedite dispute processing. Adoption of “plain language” notifications regarding rights, liabilities and safe practices in vernacular languages is recommended.</w:t>
      </w:r>
    </w:p>
    <w:p w14:paraId="2B2DCDF9"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8.5 Regulating Fintech Collaborations</w:t>
      </w:r>
    </w:p>
    <w:p w14:paraId="17438C26" w14:textId="77777777" w:rsidR="00254FD7" w:rsidRPr="00254FD7" w:rsidRDefault="00254FD7" w:rsidP="008D3D30">
      <w:pPr>
        <w:spacing w:line="360" w:lineRule="auto"/>
        <w:jc w:val="both"/>
        <w:rPr>
          <w:rFonts w:ascii="Times New Roman" w:hAnsi="Times New Roman" w:cs="Times New Roman"/>
          <w:sz w:val="24"/>
          <w:szCs w:val="24"/>
        </w:rPr>
      </w:pPr>
      <w:proofErr w:type="spellStart"/>
      <w:r w:rsidRPr="00254FD7">
        <w:rPr>
          <w:rFonts w:ascii="Times New Roman" w:hAnsi="Times New Roman" w:cs="Times New Roman"/>
          <w:sz w:val="24"/>
          <w:szCs w:val="24"/>
        </w:rPr>
        <w:t>Fintechs</w:t>
      </w:r>
      <w:proofErr w:type="spellEnd"/>
      <w:r w:rsidRPr="00254FD7">
        <w:rPr>
          <w:rFonts w:ascii="Times New Roman" w:hAnsi="Times New Roman" w:cs="Times New Roman"/>
          <w:sz w:val="24"/>
          <w:szCs w:val="24"/>
        </w:rPr>
        <w:t xml:space="preserve"> operating in the “shadow” of banks should either be brought under a flexible “light-touch” licensing regime or bound through enforceable regulatory sandboxes, ensuring supervised innovation.</w:t>
      </w:r>
    </w:p>
    <w:p w14:paraId="15643FBF" w14:textId="48DCB65E" w:rsidR="00254FD7" w:rsidRPr="00254FD7" w:rsidRDefault="00254FD7" w:rsidP="008D3D30">
      <w:pPr>
        <w:spacing w:line="360" w:lineRule="auto"/>
        <w:jc w:val="both"/>
        <w:rPr>
          <w:rFonts w:ascii="Times New Roman" w:hAnsi="Times New Roman" w:cs="Times New Roman"/>
          <w:sz w:val="24"/>
          <w:szCs w:val="24"/>
        </w:rPr>
      </w:pPr>
    </w:p>
    <w:p w14:paraId="41EE4B7B"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9. Conclusion</w:t>
      </w:r>
    </w:p>
    <w:p w14:paraId="6DD27BA5"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Digital banking represents both tremendous promise and palpable peril. India's regulatory response thus far has been fragmented, reactive, and incremental. The convergence of banking, technology, and consumer rights demands a holistic, anticipatory legal framework. By adapting international best practices within the domestic context, enforcing strict cyber security obligations, safeguarding consumer data, and introducing agile legal principles, India can achieve a balanced pathway towards financial innovation, inclusion, and trust. Sustained regulatory vigilance, empowered by statutory reform and supported by technological advancement, is essential to ensure that digital banking evolves not just at the speed of technology, but at the strength of law.</w:t>
      </w:r>
    </w:p>
    <w:p w14:paraId="3EDE55E3" w14:textId="0114FB2C" w:rsidR="00254FD7" w:rsidRPr="00254FD7" w:rsidRDefault="00254FD7" w:rsidP="008D3D30">
      <w:pPr>
        <w:spacing w:line="360" w:lineRule="auto"/>
        <w:jc w:val="both"/>
        <w:rPr>
          <w:rFonts w:ascii="Times New Roman" w:hAnsi="Times New Roman" w:cs="Times New Roman"/>
          <w:sz w:val="24"/>
          <w:szCs w:val="24"/>
        </w:rPr>
      </w:pPr>
    </w:p>
    <w:p w14:paraId="7291C37F" w14:textId="77777777" w:rsidR="00254FD7" w:rsidRPr="00254FD7" w:rsidRDefault="00254FD7" w:rsidP="008D3D30">
      <w:pPr>
        <w:spacing w:line="360" w:lineRule="auto"/>
        <w:jc w:val="both"/>
        <w:rPr>
          <w:rFonts w:ascii="Times New Roman" w:hAnsi="Times New Roman" w:cs="Times New Roman"/>
          <w:sz w:val="24"/>
          <w:szCs w:val="24"/>
        </w:rPr>
      </w:pPr>
      <w:r w:rsidRPr="00254FD7">
        <w:rPr>
          <w:rFonts w:ascii="Times New Roman" w:hAnsi="Times New Roman" w:cs="Times New Roman"/>
          <w:b/>
          <w:bCs/>
          <w:sz w:val="24"/>
          <w:szCs w:val="24"/>
        </w:rPr>
        <w:t>Bibliography</w:t>
      </w:r>
    </w:p>
    <w:p w14:paraId="5D05DDC4"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Banking Regulation Act, 1949.</w:t>
      </w:r>
    </w:p>
    <w:p w14:paraId="45198125"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Consumer Protection Act, 2019.</w:t>
      </w:r>
    </w:p>
    <w:p w14:paraId="7E7C3337"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Electronic Fund Transfer Act (US), 1978.</w:t>
      </w:r>
    </w:p>
    <w:p w14:paraId="7DC5CFD2"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Information Technology Act, 2000.</w:t>
      </w:r>
    </w:p>
    <w:p w14:paraId="28C29B75"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Payment and Settlement Systems Act, 2007.</w:t>
      </w:r>
    </w:p>
    <w:p w14:paraId="4CD2AE32"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Reserve Bank of India. </w:t>
      </w:r>
      <w:r w:rsidRPr="00254FD7">
        <w:rPr>
          <w:rFonts w:ascii="Times New Roman" w:hAnsi="Times New Roman" w:cs="Times New Roman"/>
          <w:i/>
          <w:iCs/>
          <w:sz w:val="24"/>
          <w:szCs w:val="24"/>
        </w:rPr>
        <w:t>Master Directions on Digital Payment Security Controls</w:t>
      </w:r>
      <w:r w:rsidRPr="00254FD7">
        <w:rPr>
          <w:rFonts w:ascii="Times New Roman" w:hAnsi="Times New Roman" w:cs="Times New Roman"/>
          <w:sz w:val="24"/>
          <w:szCs w:val="24"/>
        </w:rPr>
        <w:t>, 2021.</w:t>
      </w:r>
    </w:p>
    <w:p w14:paraId="49719412"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 xml:space="preserve">Reserve Bank of India. </w:t>
      </w:r>
      <w:r w:rsidRPr="00254FD7">
        <w:rPr>
          <w:rFonts w:ascii="Times New Roman" w:hAnsi="Times New Roman" w:cs="Times New Roman"/>
          <w:i/>
          <w:iCs/>
          <w:sz w:val="24"/>
          <w:szCs w:val="24"/>
        </w:rPr>
        <w:t>Ombudsman Scheme for Digital Transactions</w:t>
      </w:r>
      <w:r w:rsidRPr="00254FD7">
        <w:rPr>
          <w:rFonts w:ascii="Times New Roman" w:hAnsi="Times New Roman" w:cs="Times New Roman"/>
          <w:sz w:val="24"/>
          <w:szCs w:val="24"/>
        </w:rPr>
        <w:t>, 2019.</w:t>
      </w:r>
    </w:p>
    <w:p w14:paraId="254A6390"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i/>
          <w:iCs/>
          <w:sz w:val="24"/>
          <w:szCs w:val="24"/>
        </w:rPr>
        <w:t>Reserve Bank of India v. Jayantilal N. Mistry</w:t>
      </w:r>
      <w:r w:rsidRPr="00254FD7">
        <w:rPr>
          <w:rFonts w:ascii="Times New Roman" w:hAnsi="Times New Roman" w:cs="Times New Roman"/>
          <w:sz w:val="24"/>
          <w:szCs w:val="24"/>
        </w:rPr>
        <w:t>, (2015) 8 SCC 735.</w:t>
      </w:r>
    </w:p>
    <w:p w14:paraId="31DA49CE"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Revised Payment Services Directive (EU), 2015 (PSD2).</w:t>
      </w:r>
    </w:p>
    <w:p w14:paraId="1E4E2A0C"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Digital Personal Data Protection Bill, 2023 (India – draft).</w:t>
      </w:r>
    </w:p>
    <w:p w14:paraId="37AFC967"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RBI Notifications and Press Releases (2016–2023).</w:t>
      </w:r>
    </w:p>
    <w:p w14:paraId="6DCE535A" w14:textId="77777777" w:rsidR="00254FD7" w:rsidRPr="00254FD7" w:rsidRDefault="00254FD7" w:rsidP="008D3D30">
      <w:pPr>
        <w:numPr>
          <w:ilvl w:val="0"/>
          <w:numId w:val="3"/>
        </w:numPr>
        <w:spacing w:line="360" w:lineRule="auto"/>
        <w:jc w:val="both"/>
        <w:rPr>
          <w:rFonts w:ascii="Times New Roman" w:hAnsi="Times New Roman" w:cs="Times New Roman"/>
          <w:sz w:val="24"/>
          <w:szCs w:val="24"/>
        </w:rPr>
      </w:pPr>
      <w:r w:rsidRPr="00254FD7">
        <w:rPr>
          <w:rFonts w:ascii="Times New Roman" w:hAnsi="Times New Roman" w:cs="Times New Roman"/>
          <w:sz w:val="24"/>
          <w:szCs w:val="24"/>
        </w:rPr>
        <w:t>United States Consumer Financial Protection Bureau (CFPB) Guidelines.</w:t>
      </w:r>
    </w:p>
    <w:p w14:paraId="57BB4920" w14:textId="77777777" w:rsidR="0062165E" w:rsidRPr="00254FD7" w:rsidRDefault="0062165E" w:rsidP="008D3D30">
      <w:pPr>
        <w:spacing w:line="360" w:lineRule="auto"/>
        <w:jc w:val="both"/>
        <w:rPr>
          <w:rFonts w:ascii="Times New Roman" w:hAnsi="Times New Roman" w:cs="Times New Roman"/>
          <w:sz w:val="24"/>
          <w:szCs w:val="24"/>
        </w:rPr>
      </w:pPr>
    </w:p>
    <w:sectPr w:rsidR="0062165E" w:rsidRPr="00254F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03E89"/>
    <w:multiLevelType w:val="multilevel"/>
    <w:tmpl w:val="7AE6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95CBB"/>
    <w:multiLevelType w:val="multilevel"/>
    <w:tmpl w:val="662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D13D34"/>
    <w:multiLevelType w:val="hybridMultilevel"/>
    <w:tmpl w:val="70A622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E476774"/>
    <w:multiLevelType w:val="hybridMultilevel"/>
    <w:tmpl w:val="145ECAE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4804502"/>
    <w:multiLevelType w:val="multilevel"/>
    <w:tmpl w:val="3DB0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4035938">
    <w:abstractNumId w:val="4"/>
  </w:num>
  <w:num w:numId="2" w16cid:durableId="1155681715">
    <w:abstractNumId w:val="0"/>
  </w:num>
  <w:num w:numId="3" w16cid:durableId="1337415926">
    <w:abstractNumId w:val="1"/>
  </w:num>
  <w:num w:numId="4" w16cid:durableId="742801573">
    <w:abstractNumId w:val="3"/>
  </w:num>
  <w:num w:numId="5" w16cid:durableId="1764036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D7"/>
    <w:rsid w:val="002441A2"/>
    <w:rsid w:val="00254FD7"/>
    <w:rsid w:val="004C3F19"/>
    <w:rsid w:val="0062165E"/>
    <w:rsid w:val="00700734"/>
    <w:rsid w:val="007C06ED"/>
    <w:rsid w:val="008D3D30"/>
    <w:rsid w:val="00AB12A4"/>
    <w:rsid w:val="00DD5286"/>
    <w:rsid w:val="00F16E09"/>
    <w:rsid w:val="00FB23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D0EB"/>
  <w15:chartTrackingRefBased/>
  <w15:docId w15:val="{029DFCFD-9A77-4A76-99CC-58D4760A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4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4F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4F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4F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4F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F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F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F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F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4F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4F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4F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4F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4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FD7"/>
    <w:rPr>
      <w:rFonts w:eastAsiaTheme="majorEastAsia" w:cstheme="majorBidi"/>
      <w:color w:val="272727" w:themeColor="text1" w:themeTint="D8"/>
    </w:rPr>
  </w:style>
  <w:style w:type="paragraph" w:styleId="Title">
    <w:name w:val="Title"/>
    <w:basedOn w:val="Normal"/>
    <w:next w:val="Normal"/>
    <w:link w:val="TitleChar"/>
    <w:uiPriority w:val="10"/>
    <w:qFormat/>
    <w:rsid w:val="00254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FD7"/>
    <w:pPr>
      <w:spacing w:before="160"/>
      <w:jc w:val="center"/>
    </w:pPr>
    <w:rPr>
      <w:i/>
      <w:iCs/>
      <w:color w:val="404040" w:themeColor="text1" w:themeTint="BF"/>
    </w:rPr>
  </w:style>
  <w:style w:type="character" w:customStyle="1" w:styleId="QuoteChar">
    <w:name w:val="Quote Char"/>
    <w:basedOn w:val="DefaultParagraphFont"/>
    <w:link w:val="Quote"/>
    <w:uiPriority w:val="29"/>
    <w:rsid w:val="00254FD7"/>
    <w:rPr>
      <w:i/>
      <w:iCs/>
      <w:color w:val="404040" w:themeColor="text1" w:themeTint="BF"/>
    </w:rPr>
  </w:style>
  <w:style w:type="paragraph" w:styleId="ListParagraph">
    <w:name w:val="List Paragraph"/>
    <w:basedOn w:val="Normal"/>
    <w:uiPriority w:val="34"/>
    <w:qFormat/>
    <w:rsid w:val="00254FD7"/>
    <w:pPr>
      <w:ind w:left="720"/>
      <w:contextualSpacing/>
    </w:pPr>
  </w:style>
  <w:style w:type="character" w:styleId="IntenseEmphasis">
    <w:name w:val="Intense Emphasis"/>
    <w:basedOn w:val="DefaultParagraphFont"/>
    <w:uiPriority w:val="21"/>
    <w:qFormat/>
    <w:rsid w:val="00254FD7"/>
    <w:rPr>
      <w:i/>
      <w:iCs/>
      <w:color w:val="2F5496" w:themeColor="accent1" w:themeShade="BF"/>
    </w:rPr>
  </w:style>
  <w:style w:type="paragraph" w:styleId="IntenseQuote">
    <w:name w:val="Intense Quote"/>
    <w:basedOn w:val="Normal"/>
    <w:next w:val="Normal"/>
    <w:link w:val="IntenseQuoteChar"/>
    <w:uiPriority w:val="30"/>
    <w:qFormat/>
    <w:rsid w:val="00254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4FD7"/>
    <w:rPr>
      <w:i/>
      <w:iCs/>
      <w:color w:val="2F5496" w:themeColor="accent1" w:themeShade="BF"/>
    </w:rPr>
  </w:style>
  <w:style w:type="character" w:styleId="IntenseReference">
    <w:name w:val="Intense Reference"/>
    <w:basedOn w:val="DefaultParagraphFont"/>
    <w:uiPriority w:val="32"/>
    <w:qFormat/>
    <w:rsid w:val="00254FD7"/>
    <w:rPr>
      <w:b/>
      <w:bCs/>
      <w:smallCaps/>
      <w:color w:val="2F5496" w:themeColor="accent1" w:themeShade="BF"/>
      <w:spacing w:val="5"/>
    </w:rPr>
  </w:style>
  <w:style w:type="paragraph" w:styleId="NormalWeb">
    <w:name w:val="Normal (Web)"/>
    <w:basedOn w:val="Normal"/>
    <w:uiPriority w:val="99"/>
    <w:unhideWhenUsed/>
    <w:rsid w:val="00254FD7"/>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styleId="Strong">
    <w:name w:val="Strong"/>
    <w:basedOn w:val="DefaultParagraphFont"/>
    <w:uiPriority w:val="22"/>
    <w:qFormat/>
    <w:rsid w:val="00254FD7"/>
    <w:rPr>
      <w:b/>
      <w:bCs/>
    </w:rPr>
  </w:style>
  <w:style w:type="character" w:styleId="Emphasis">
    <w:name w:val="Emphasis"/>
    <w:basedOn w:val="DefaultParagraphFont"/>
    <w:uiPriority w:val="20"/>
    <w:qFormat/>
    <w:rsid w:val="00254FD7"/>
    <w:rPr>
      <w:i/>
      <w:iCs/>
    </w:rPr>
  </w:style>
  <w:style w:type="character" w:styleId="Hyperlink">
    <w:name w:val="Hyperlink"/>
    <w:basedOn w:val="DefaultParagraphFont"/>
    <w:uiPriority w:val="99"/>
    <w:unhideWhenUsed/>
    <w:rsid w:val="008D3D30"/>
    <w:rPr>
      <w:color w:val="0563C1" w:themeColor="hyperlink"/>
      <w:u w:val="single"/>
    </w:rPr>
  </w:style>
  <w:style w:type="character" w:styleId="UnresolvedMention">
    <w:name w:val="Unresolved Mention"/>
    <w:basedOn w:val="DefaultParagraphFont"/>
    <w:uiPriority w:val="99"/>
    <w:semiHidden/>
    <w:unhideWhenUsed/>
    <w:rsid w:val="008D3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9</Pages>
  <Words>2567</Words>
  <Characters>14636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2025-08-18T10:31:00Z</dcterms:created>
  <dcterms:modified xsi:type="dcterms:W3CDTF">2025-08-19T08:18:00Z</dcterms:modified>
</cp:coreProperties>
</file>