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6AEFF" w14:textId="77777777" w:rsidR="00C3561C" w:rsidRPr="00913B4A" w:rsidRDefault="00C3561C" w:rsidP="00913B4A">
      <w:pPr>
        <w:pStyle w:val="Heading1"/>
        <w:jc w:val="both"/>
        <w:rPr>
          <w:rFonts w:ascii="Times New Roman" w:hAnsi="Times New Roman" w:cs="Times New Roman"/>
          <w:b/>
          <w:bCs/>
          <w:color w:val="000000" w:themeColor="text1"/>
          <w:sz w:val="28"/>
          <w:szCs w:val="28"/>
        </w:rPr>
      </w:pPr>
      <w:bookmarkStart w:id="0" w:name="_Hlk195222034"/>
      <w:r w:rsidRPr="00913B4A">
        <w:rPr>
          <w:rFonts w:ascii="Times New Roman" w:hAnsi="Times New Roman" w:cs="Times New Roman"/>
          <w:b/>
          <w:bCs/>
          <w:color w:val="000000" w:themeColor="text1"/>
          <w:sz w:val="28"/>
          <w:szCs w:val="28"/>
        </w:rPr>
        <w:t>BEYOND THE MARGINS: NAVIGATING HUMAN RIGHTS OF SEX WORKERS IN INDIA’S LEGAL AND SOCIAL LANDSCAPE</w:t>
      </w:r>
      <w:bookmarkEnd w:id="0"/>
    </w:p>
    <w:p w14:paraId="4A627BB1" w14:textId="77777777" w:rsidR="00D25323" w:rsidRPr="00913B4A" w:rsidRDefault="00D25323" w:rsidP="00913B4A">
      <w:pPr>
        <w:jc w:val="both"/>
        <w:rPr>
          <w:rFonts w:ascii="Times New Roman" w:hAnsi="Times New Roman" w:cs="Times New Roman"/>
        </w:rPr>
      </w:pPr>
    </w:p>
    <w:p w14:paraId="000430AD" w14:textId="43F8C604" w:rsidR="00C3561C" w:rsidRPr="00913B4A" w:rsidRDefault="00913B4A" w:rsidP="00913B4A">
      <w:pPr>
        <w:pStyle w:val="BodyText"/>
        <w:spacing w:before="0" w:after="0"/>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                                                                                                                      </w:t>
      </w:r>
      <w:r w:rsidR="00C3561C" w:rsidRPr="00913B4A">
        <w:rPr>
          <w:rFonts w:ascii="Times New Roman" w:hAnsi="Times New Roman" w:cs="Times New Roman"/>
          <w:b/>
          <w:bCs/>
          <w:color w:val="000000" w:themeColor="text1"/>
        </w:rPr>
        <w:t>AKHIL SAJEE</w:t>
      </w:r>
      <w:r w:rsidR="00F54309" w:rsidRPr="00913B4A">
        <w:rPr>
          <w:rFonts w:ascii="Times New Roman" w:hAnsi="Times New Roman" w:cs="Times New Roman"/>
          <w:b/>
          <w:bCs/>
          <w:color w:val="000000" w:themeColor="text1"/>
        </w:rPr>
        <w:t>V</w:t>
      </w:r>
      <w:r w:rsidR="00F54309" w:rsidRPr="00913B4A">
        <w:rPr>
          <w:rStyle w:val="FootnoteReference"/>
          <w:rFonts w:ascii="Times New Roman" w:hAnsi="Times New Roman" w:cs="Times New Roman"/>
          <w:b/>
          <w:bCs/>
          <w:color w:val="000000" w:themeColor="text1"/>
        </w:rPr>
        <w:footnoteReference w:customMarkFollows="1" w:id="1"/>
        <w:t>*</w:t>
      </w:r>
    </w:p>
    <w:p w14:paraId="39041D83" w14:textId="66F7E8AC" w:rsidR="002F677D" w:rsidRPr="00913B4A" w:rsidRDefault="00C3561C" w:rsidP="00913B4A">
      <w:pPr>
        <w:spacing w:after="0"/>
        <w:jc w:val="both"/>
        <w:rPr>
          <w:rFonts w:ascii="Times New Roman" w:hAnsi="Times New Roman" w:cs="Times New Roman"/>
          <w:b/>
          <w:bCs/>
          <w:color w:val="000000" w:themeColor="text1"/>
        </w:rPr>
      </w:pPr>
      <w:r w:rsidRPr="00913B4A">
        <w:rPr>
          <w:rFonts w:ascii="Times New Roman" w:hAnsi="Times New Roman" w:cs="Times New Roman"/>
          <w:b/>
          <w:bCs/>
          <w:color w:val="000000" w:themeColor="text1"/>
        </w:rPr>
        <w:t xml:space="preserve">                                                                                                                              ANUSREE J</w:t>
      </w:r>
      <w:r w:rsidR="00F54309" w:rsidRPr="00913B4A">
        <w:rPr>
          <w:rStyle w:val="FootnoteReference"/>
          <w:rFonts w:ascii="Times New Roman" w:hAnsi="Times New Roman" w:cs="Times New Roman"/>
          <w:b/>
          <w:bCs/>
          <w:color w:val="000000" w:themeColor="text1"/>
        </w:rPr>
        <w:footnoteReference w:customMarkFollows="1" w:id="2"/>
        <w:t>*</w:t>
      </w:r>
    </w:p>
    <w:p w14:paraId="2F18986C" w14:textId="77777777" w:rsidR="00F54309" w:rsidRPr="00913B4A" w:rsidRDefault="00F54309" w:rsidP="00913B4A">
      <w:pPr>
        <w:spacing w:after="0"/>
        <w:jc w:val="both"/>
        <w:rPr>
          <w:rFonts w:ascii="Times New Roman" w:hAnsi="Times New Roman" w:cs="Times New Roman"/>
          <w:b/>
          <w:bCs/>
          <w:color w:val="000000" w:themeColor="text1"/>
        </w:rPr>
      </w:pPr>
    </w:p>
    <w:p w14:paraId="4E344AAD" w14:textId="77777777" w:rsidR="00F54309" w:rsidRPr="00913B4A" w:rsidRDefault="00F54309" w:rsidP="00913B4A">
      <w:pPr>
        <w:spacing w:after="0"/>
        <w:jc w:val="both"/>
        <w:rPr>
          <w:rFonts w:ascii="Times New Roman" w:hAnsi="Times New Roman" w:cs="Times New Roman"/>
          <w:b/>
          <w:bCs/>
          <w:color w:val="000000" w:themeColor="text1"/>
        </w:rPr>
      </w:pPr>
    </w:p>
    <w:p w14:paraId="31153183" w14:textId="77777777" w:rsidR="00D25323" w:rsidRPr="00913B4A" w:rsidRDefault="00D25323" w:rsidP="00913B4A">
      <w:pPr>
        <w:spacing w:after="0"/>
        <w:jc w:val="both"/>
        <w:rPr>
          <w:rFonts w:ascii="Times New Roman" w:hAnsi="Times New Roman" w:cs="Times New Roman"/>
          <w:b/>
          <w:bCs/>
          <w:color w:val="000000" w:themeColor="text1"/>
        </w:rPr>
      </w:pPr>
    </w:p>
    <w:p w14:paraId="02BADB24" w14:textId="5575ACF3" w:rsidR="00D25323" w:rsidRPr="00913B4A" w:rsidRDefault="00C3561C" w:rsidP="00913B4A">
      <w:pPr>
        <w:jc w:val="both"/>
        <w:rPr>
          <w:rFonts w:ascii="Times New Roman" w:hAnsi="Times New Roman" w:cs="Times New Roman"/>
          <w:b/>
          <w:bCs/>
          <w:color w:val="000000" w:themeColor="text1"/>
        </w:rPr>
      </w:pPr>
      <w:r w:rsidRPr="00913B4A">
        <w:rPr>
          <w:rFonts w:ascii="Times New Roman" w:hAnsi="Times New Roman" w:cs="Times New Roman"/>
          <w:b/>
          <w:bCs/>
          <w:color w:val="000000" w:themeColor="text1"/>
        </w:rPr>
        <w:t>Abstract</w:t>
      </w:r>
    </w:p>
    <w:p w14:paraId="1AE22E60" w14:textId="172C2819" w:rsidR="00C3561C" w:rsidRPr="00913B4A" w:rsidRDefault="00C3561C" w:rsidP="00913B4A">
      <w:pPr>
        <w:jc w:val="both"/>
        <w:rPr>
          <w:rFonts w:ascii="Times New Roman" w:hAnsi="Times New Roman" w:cs="Times New Roman"/>
        </w:rPr>
      </w:pPr>
      <w:r w:rsidRPr="00913B4A">
        <w:rPr>
          <w:rFonts w:ascii="Times New Roman" w:hAnsi="Times New Roman" w:cs="Times New Roman"/>
        </w:rPr>
        <w:t xml:space="preserve">Sex Work, Trading body for Money, Human Trafficking for organs and money are no longer an unknown crime in a developing country like India. There are various legislations also established by the government to protect the rights, duties, dignity and equality of sex workers, aiming at providing equal and better status for Sex Workers. Through this paper, the researcher strives to develop a critical analysis on the legal and sociological angular of sex workers in India. Despite constitutional guarantees of dignity and equality established and practiced for more than 70 years, the sex workers experience systematic marginalization through discriminatory practices, violence and limited access to essential services. The paradoxical legal framework  which itself treats sex work as not legal but a related activity </w:t>
      </w:r>
      <w:proofErr w:type="gramStart"/>
      <w:r w:rsidR="00FA3BBE" w:rsidRPr="00913B4A">
        <w:rPr>
          <w:rFonts w:ascii="Times New Roman" w:hAnsi="Times New Roman" w:cs="Times New Roman"/>
        </w:rPr>
        <w:t>are</w:t>
      </w:r>
      <w:proofErr w:type="gramEnd"/>
      <w:r w:rsidR="00FA3BBE" w:rsidRPr="00913B4A">
        <w:rPr>
          <w:rFonts w:ascii="Times New Roman" w:hAnsi="Times New Roman" w:cs="Times New Roman"/>
        </w:rPr>
        <w:t xml:space="preserve"> illegal or criminalized has perpetuated exploitation which failed to address the underlying socioeconomic vulnerabilities of these women. Moreover, recent judicial interventions particularly the landmark judgment of Supreme Court on 2022 in </w:t>
      </w:r>
      <w:bookmarkStart w:id="1" w:name="_Hlk197347023"/>
      <w:r w:rsidR="00FA3BBE" w:rsidRPr="00913B4A">
        <w:rPr>
          <w:rFonts w:ascii="Times New Roman" w:hAnsi="Times New Roman" w:cs="Times New Roman"/>
        </w:rPr>
        <w:t xml:space="preserve">V Abhishek v State of Tamil Nadu </w:t>
      </w:r>
      <w:bookmarkEnd w:id="1"/>
      <w:r w:rsidR="00FA3BBE" w:rsidRPr="00913B4A">
        <w:rPr>
          <w:rFonts w:ascii="Times New Roman" w:hAnsi="Times New Roman" w:cs="Times New Roman"/>
        </w:rPr>
        <w:t xml:space="preserve">directly recognizing sex work as a profession and </w:t>
      </w:r>
      <w:bookmarkStart w:id="2" w:name="_Hlk197347152"/>
      <w:r w:rsidR="00FA3BBE" w:rsidRPr="00913B4A">
        <w:rPr>
          <w:rFonts w:ascii="Times New Roman" w:hAnsi="Times New Roman" w:cs="Times New Roman"/>
        </w:rPr>
        <w:t xml:space="preserve">refraining the police authorities from arresting or taking action against such individual, being an adult indulging in  sexual act with consent </w:t>
      </w:r>
      <w:bookmarkEnd w:id="2"/>
      <w:r w:rsidR="00FA3BBE" w:rsidRPr="00913B4A">
        <w:rPr>
          <w:rFonts w:ascii="Times New Roman" w:hAnsi="Times New Roman" w:cs="Times New Roman"/>
        </w:rPr>
        <w:t xml:space="preserve">is a milestone in the recognition of rights of these individuals, however, the substantial gaps between them persists progressive jurisprudence and ground realities. The researcher also analyzes the evolution of legal approaches to sex work in India, evaluating contemporary violation of rights including in healthcare, housing and legal protection which examines community led resistance and advocacy initiatives. Through qualitative analysis of judicial decisions, legislations and rights based framework, this paper highlights the necessary for legislating meaningful human rights protection requiring comprehensive policy reform that addresses structural inequalities while centering sex workers’ agency and voices also suggests that decriminalization, coupled with robust anti-discrimination measures and programs for economic </w:t>
      </w:r>
      <w:r w:rsidR="00F54309" w:rsidRPr="00913B4A">
        <w:rPr>
          <w:rFonts w:ascii="Times New Roman" w:hAnsi="Times New Roman" w:cs="Times New Roman"/>
        </w:rPr>
        <w:t>empowerment programs offers the most promising path towards realizing fundamental rights of these marginalized population. The researcher hereby put forth a right based approach to necessitate reconceptualizing sex work through the lens of labor rights and human dignity rather than on morality and criminalization.</w:t>
      </w:r>
    </w:p>
    <w:p w14:paraId="16428DC3" w14:textId="5F823E78" w:rsidR="00F54309" w:rsidRPr="00913B4A" w:rsidRDefault="00F54309" w:rsidP="00913B4A">
      <w:pPr>
        <w:jc w:val="both"/>
        <w:rPr>
          <w:rFonts w:ascii="Times New Roman" w:hAnsi="Times New Roman" w:cs="Times New Roman"/>
        </w:rPr>
      </w:pPr>
      <w:r w:rsidRPr="00913B4A">
        <w:rPr>
          <w:rFonts w:ascii="Times New Roman" w:hAnsi="Times New Roman" w:cs="Times New Roman"/>
          <w:b/>
          <w:bCs/>
        </w:rPr>
        <w:t>Keywords:</w:t>
      </w:r>
      <w:r w:rsidRPr="00913B4A">
        <w:rPr>
          <w:rFonts w:ascii="Times New Roman" w:hAnsi="Times New Roman" w:cs="Times New Roman"/>
        </w:rPr>
        <w:t xml:space="preserve"> Sex Work, Criminalization, Human rights, Constitution, Healthcare;</w:t>
      </w:r>
    </w:p>
    <w:p w14:paraId="73B1D80F" w14:textId="77777777" w:rsidR="00F54309" w:rsidRPr="00913B4A" w:rsidRDefault="00F54309" w:rsidP="00913B4A">
      <w:pPr>
        <w:jc w:val="both"/>
        <w:rPr>
          <w:rFonts w:ascii="Times New Roman" w:hAnsi="Times New Roman" w:cs="Times New Roman"/>
        </w:rPr>
      </w:pPr>
    </w:p>
    <w:p w14:paraId="53296358" w14:textId="77777777" w:rsidR="00D25323" w:rsidRPr="00913B4A" w:rsidRDefault="00D25323" w:rsidP="00913B4A">
      <w:pPr>
        <w:jc w:val="both"/>
        <w:rPr>
          <w:rFonts w:ascii="Times New Roman" w:hAnsi="Times New Roman" w:cs="Times New Roman"/>
        </w:rPr>
      </w:pPr>
    </w:p>
    <w:p w14:paraId="346A0BAA" w14:textId="77777777" w:rsidR="00D25323" w:rsidRPr="00913B4A" w:rsidRDefault="00D25323" w:rsidP="00913B4A">
      <w:pPr>
        <w:jc w:val="both"/>
        <w:rPr>
          <w:rFonts w:ascii="Times New Roman" w:hAnsi="Times New Roman" w:cs="Times New Roman"/>
        </w:rPr>
      </w:pPr>
    </w:p>
    <w:p w14:paraId="7A41C029" w14:textId="651EE6CC" w:rsidR="00F54309" w:rsidRPr="00913B4A" w:rsidRDefault="00F54309" w:rsidP="00913B4A">
      <w:pPr>
        <w:jc w:val="both"/>
        <w:rPr>
          <w:rFonts w:ascii="Times New Roman" w:hAnsi="Times New Roman" w:cs="Times New Roman"/>
          <w:b/>
          <w:bCs/>
        </w:rPr>
      </w:pPr>
      <w:r w:rsidRPr="00913B4A">
        <w:rPr>
          <w:rFonts w:ascii="Times New Roman" w:hAnsi="Times New Roman" w:cs="Times New Roman"/>
          <w:b/>
          <w:bCs/>
        </w:rPr>
        <w:lastRenderedPageBreak/>
        <w:t>1.Introduction</w:t>
      </w:r>
    </w:p>
    <w:p w14:paraId="3DCF4F95" w14:textId="1437A6D7" w:rsidR="00F54309" w:rsidRPr="00913B4A" w:rsidRDefault="00F54309" w:rsidP="00913B4A">
      <w:pPr>
        <w:jc w:val="both"/>
        <w:rPr>
          <w:rFonts w:ascii="Times New Roman" w:hAnsi="Times New Roman" w:cs="Times New Roman"/>
        </w:rPr>
      </w:pPr>
      <w:r w:rsidRPr="00913B4A">
        <w:rPr>
          <w:rFonts w:ascii="Times New Roman" w:hAnsi="Times New Roman" w:cs="Times New Roman"/>
        </w:rPr>
        <w:t>The Indian Constitution under Art 19(1)(</w:t>
      </w:r>
      <w:r w:rsidR="00DA7DC3" w:rsidRPr="00913B4A">
        <w:rPr>
          <w:rFonts w:ascii="Times New Roman" w:hAnsi="Times New Roman" w:cs="Times New Roman"/>
        </w:rPr>
        <w:t>g</w:t>
      </w:r>
      <w:r w:rsidRPr="00913B4A">
        <w:rPr>
          <w:rFonts w:ascii="Times New Roman" w:hAnsi="Times New Roman" w:cs="Times New Roman"/>
        </w:rPr>
        <w:t>)</w:t>
      </w:r>
      <w:r w:rsidR="00DA7DC3" w:rsidRPr="00913B4A">
        <w:rPr>
          <w:rFonts w:ascii="Times New Roman" w:hAnsi="Times New Roman" w:cs="Times New Roman"/>
        </w:rPr>
        <w:t xml:space="preserve"> provided to everyone the right to practice any profession or to carryout any occupation, trade or business which is no longer in conflict with maintaining peace, security and social order of the country.</w:t>
      </w:r>
      <w:r w:rsidR="00041242" w:rsidRPr="00913B4A">
        <w:rPr>
          <w:rFonts w:ascii="Times New Roman" w:hAnsi="Times New Roman" w:cs="Times New Roman"/>
        </w:rPr>
        <w:t xml:space="preserve"> </w:t>
      </w:r>
      <w:r w:rsidR="00DA7DC3" w:rsidRPr="00913B4A">
        <w:rPr>
          <w:rFonts w:ascii="Times New Roman" w:hAnsi="Times New Roman" w:cs="Times New Roman"/>
        </w:rPr>
        <w:t xml:space="preserve">Therefore a sex worker or the choice of choosing sex work as a profession is no longer so far declared illegal or criminalized or treated it as against the social order of the country. but the reality of treating sex work as a moral crime or against the norms of the society in the present society violates the basic and fundamental rights of the sex workers to be treated equal and their work should be treated and given the same dignity and respect the other profession receives, this intersection of basic fundamental and human rights and sex work is the complex domain in this contemporary legal discourse in India. All over in India, the sex workers </w:t>
      </w:r>
      <w:r w:rsidR="00041242" w:rsidRPr="00913B4A">
        <w:rPr>
          <w:rFonts w:ascii="Times New Roman" w:hAnsi="Times New Roman" w:cs="Times New Roman"/>
        </w:rPr>
        <w:t>estimate</w:t>
      </w:r>
      <w:r w:rsidR="00DA7DC3" w:rsidRPr="00913B4A">
        <w:rPr>
          <w:rFonts w:ascii="Times New Roman" w:hAnsi="Times New Roman" w:cs="Times New Roman"/>
        </w:rPr>
        <w:t xml:space="preserve">  between 1.25 and 3 million around the country which navigates </w:t>
      </w:r>
      <w:r w:rsidR="00041242" w:rsidRPr="00913B4A">
        <w:rPr>
          <w:rFonts w:ascii="Times New Roman" w:hAnsi="Times New Roman" w:cs="Times New Roman"/>
        </w:rPr>
        <w:t xml:space="preserve">their existence characterized by profound social stigma, institutional discrimination and systematic rights and violation. These lives of individuals engaging in sex work in India unfold the backdrop of contradictory legal frameworks, entrenched patriarchal norms and economic marginalization that collectively undermines their constitutional guarantees of dignity, equality and liberty. The legislation of Immoral Traffic Prevention Act(ITPA) 1956, </w:t>
      </w:r>
      <w:r w:rsidR="00D00EF9" w:rsidRPr="00913B4A">
        <w:rPr>
          <w:rFonts w:ascii="Times New Roman" w:hAnsi="Times New Roman" w:cs="Times New Roman"/>
        </w:rPr>
        <w:t>embodies the act of selling sexual service as not explicitly criminalized, and virtually all surrounding activities like soliciting, maintaining brothels, living off earnings and public solicitation as prohibited</w:t>
      </w:r>
      <w:r w:rsidR="00A01F9B" w:rsidRPr="00913B4A">
        <w:rPr>
          <w:rStyle w:val="FootnoteReference"/>
          <w:rFonts w:ascii="Times New Roman" w:hAnsi="Times New Roman" w:cs="Times New Roman"/>
        </w:rPr>
        <w:footnoteReference w:id="3"/>
      </w:r>
      <w:r w:rsidR="00D00EF9" w:rsidRPr="00913B4A">
        <w:rPr>
          <w:rFonts w:ascii="Times New Roman" w:hAnsi="Times New Roman" w:cs="Times New Roman"/>
        </w:rPr>
        <w:t xml:space="preserve">. This legislative </w:t>
      </w:r>
      <w:r w:rsidR="00A01F9B" w:rsidRPr="00913B4A">
        <w:rPr>
          <w:rFonts w:ascii="Times New Roman" w:hAnsi="Times New Roman" w:cs="Times New Roman"/>
        </w:rPr>
        <w:t>ambivalence has created a legal landscape where sex workers occupy a limited space neither fully criminalized nor legitimized yet consistently subjected to punitive measures and state harassment. The drawback of this legal ambiguity manifested in the human rights violation including arbitrary detention to denial of healthcare and systemic exclusion from social protection systems.</w:t>
      </w:r>
    </w:p>
    <w:p w14:paraId="77AAC7E3" w14:textId="697B488D" w:rsidR="00A01F9B" w:rsidRPr="00913B4A" w:rsidRDefault="00A01F9B" w:rsidP="00913B4A">
      <w:pPr>
        <w:jc w:val="both"/>
        <w:rPr>
          <w:rFonts w:ascii="Times New Roman" w:hAnsi="Times New Roman" w:cs="Times New Roman"/>
        </w:rPr>
      </w:pPr>
      <w:r w:rsidRPr="00913B4A">
        <w:rPr>
          <w:rFonts w:ascii="Times New Roman" w:hAnsi="Times New Roman" w:cs="Times New Roman"/>
        </w:rPr>
        <w:t>However, the recent years have witnessed a significant judicial intervention that challenged this status quo with the initiative from the Supreme Court Landmark judgment directive of May 2022 in V Abhishek v State of Tamil Nadu recognizing sex work as a profession and refraining the police authorities from arresting or taking action against such individual, being an adult indulging in  sexual act with consent.</w:t>
      </w:r>
      <w:r w:rsidR="00CC7E37" w:rsidRPr="00913B4A">
        <w:rPr>
          <w:rFonts w:ascii="Times New Roman" w:hAnsi="Times New Roman" w:cs="Times New Roman"/>
        </w:rPr>
        <w:t xml:space="preserve"> </w:t>
      </w:r>
      <w:r w:rsidR="004204A3" w:rsidRPr="00913B4A">
        <w:rPr>
          <w:rFonts w:ascii="Times New Roman" w:hAnsi="Times New Roman" w:cs="Times New Roman"/>
        </w:rPr>
        <w:t>Other favorable precedent includes sex work as a profession and affirmed sex workers entitlement to dignity and equal protection under the law. This judicial recognition represents a pivotal moment in the decades -long struggle for recognition of their rights. However, the gap between progressive jurisprudence and lived realities remains substantial with implementation challenges persisting across institutional contexts.</w:t>
      </w:r>
    </w:p>
    <w:p w14:paraId="6F3819F3" w14:textId="77777777" w:rsidR="004204A3" w:rsidRPr="00913B4A" w:rsidRDefault="004204A3" w:rsidP="00913B4A">
      <w:pPr>
        <w:jc w:val="both"/>
        <w:rPr>
          <w:rFonts w:ascii="Times New Roman" w:hAnsi="Times New Roman" w:cs="Times New Roman"/>
        </w:rPr>
      </w:pPr>
    </w:p>
    <w:p w14:paraId="464A6333" w14:textId="2283F30F" w:rsidR="00F54309" w:rsidRPr="00913B4A" w:rsidRDefault="004204A3" w:rsidP="00913B4A">
      <w:pPr>
        <w:jc w:val="both"/>
        <w:rPr>
          <w:rFonts w:ascii="Times New Roman" w:hAnsi="Times New Roman" w:cs="Times New Roman"/>
          <w:b/>
          <w:bCs/>
        </w:rPr>
      </w:pPr>
      <w:r w:rsidRPr="00913B4A">
        <w:rPr>
          <w:rFonts w:ascii="Times New Roman" w:hAnsi="Times New Roman" w:cs="Times New Roman"/>
          <w:b/>
          <w:bCs/>
        </w:rPr>
        <w:t>II. Historical and Legal context of Sex Work in India</w:t>
      </w:r>
    </w:p>
    <w:p w14:paraId="320B1493" w14:textId="686CCEC0" w:rsidR="004204A3" w:rsidRPr="00913B4A" w:rsidRDefault="004204A3" w:rsidP="00913B4A">
      <w:pPr>
        <w:pStyle w:val="ListParagraph"/>
        <w:numPr>
          <w:ilvl w:val="0"/>
          <w:numId w:val="6"/>
        </w:numPr>
        <w:jc w:val="both"/>
        <w:rPr>
          <w:rFonts w:ascii="Times New Roman" w:hAnsi="Times New Roman" w:cs="Times New Roman"/>
          <w:b/>
          <w:bCs/>
        </w:rPr>
      </w:pPr>
      <w:r w:rsidRPr="00913B4A">
        <w:rPr>
          <w:rFonts w:ascii="Times New Roman" w:hAnsi="Times New Roman" w:cs="Times New Roman"/>
          <w:b/>
          <w:bCs/>
        </w:rPr>
        <w:t>Evolution of Legal Approaches to Sex Work</w:t>
      </w:r>
    </w:p>
    <w:p w14:paraId="2CB5D8A1" w14:textId="3AC29344" w:rsidR="004204A3" w:rsidRPr="00913B4A" w:rsidRDefault="004204A3" w:rsidP="00913B4A">
      <w:pPr>
        <w:jc w:val="both"/>
        <w:rPr>
          <w:rFonts w:ascii="Times New Roman" w:hAnsi="Times New Roman" w:cs="Times New Roman"/>
        </w:rPr>
      </w:pPr>
      <w:r w:rsidRPr="00913B4A">
        <w:rPr>
          <w:rFonts w:ascii="Times New Roman" w:hAnsi="Times New Roman" w:cs="Times New Roman"/>
        </w:rPr>
        <w:t>The legal regulation on Sex Work in India bears a distinct imprint of its colonial past with contemporary legal frameworks criminalized “public indecency” a</w:t>
      </w:r>
      <w:r w:rsidR="00457797" w:rsidRPr="00913B4A">
        <w:rPr>
          <w:rFonts w:ascii="Times New Roman" w:hAnsi="Times New Roman" w:cs="Times New Roman"/>
        </w:rPr>
        <w:t xml:space="preserve">nd “regulated sexuality of colonized populations”. The historical trajectory of legal approaches to sex work reveals a consistent pattern of state control rather than the protection of rights introducing with the Contagious Diseases Act of 1860s which mandated medical examination of women suspected </w:t>
      </w:r>
      <w:r w:rsidR="00457797" w:rsidRPr="00913B4A">
        <w:rPr>
          <w:rFonts w:ascii="Times New Roman" w:hAnsi="Times New Roman" w:cs="Times New Roman"/>
        </w:rPr>
        <w:lastRenderedPageBreak/>
        <w:t>of prostitution in cantonment areas</w:t>
      </w:r>
      <w:r w:rsidR="008D3493" w:rsidRPr="00913B4A">
        <w:rPr>
          <w:rStyle w:val="FootnoteReference"/>
          <w:rFonts w:ascii="Times New Roman" w:hAnsi="Times New Roman" w:cs="Times New Roman"/>
        </w:rPr>
        <w:footnoteReference w:id="4"/>
      </w:r>
      <w:r w:rsidR="00457797" w:rsidRPr="00913B4A">
        <w:rPr>
          <w:rFonts w:ascii="Times New Roman" w:hAnsi="Times New Roman" w:cs="Times New Roman"/>
        </w:rPr>
        <w:t>. These preventive measures are ostensibly designed to control venereal diseases among British troops, establishing a precedent for state surveillance and regulation of women’s bodies that persists in th</w:t>
      </w:r>
      <w:r w:rsidR="00515588" w:rsidRPr="00913B4A">
        <w:rPr>
          <w:rFonts w:ascii="Times New Roman" w:hAnsi="Times New Roman" w:cs="Times New Roman"/>
        </w:rPr>
        <w:t>e modified forms</w:t>
      </w:r>
      <w:r w:rsidR="00457797" w:rsidRPr="00913B4A">
        <w:rPr>
          <w:rFonts w:ascii="Times New Roman" w:hAnsi="Times New Roman" w:cs="Times New Roman"/>
        </w:rPr>
        <w:t xml:space="preserve"> today. </w:t>
      </w:r>
    </w:p>
    <w:p w14:paraId="5151D54F" w14:textId="70B18582" w:rsidR="00515588" w:rsidRPr="00913B4A" w:rsidRDefault="00515588" w:rsidP="00913B4A">
      <w:pPr>
        <w:jc w:val="both"/>
        <w:rPr>
          <w:rFonts w:ascii="Times New Roman" w:hAnsi="Times New Roman" w:cs="Times New Roman"/>
        </w:rPr>
      </w:pPr>
      <w:r w:rsidRPr="00913B4A">
        <w:rPr>
          <w:rFonts w:ascii="Times New Roman" w:hAnsi="Times New Roman" w:cs="Times New Roman"/>
        </w:rPr>
        <w:t>Whereas the Post Independence Legislation maintained this regulatory approach the enactment of Suppression of Immoral Traffic in Women and Girls Act (SITA) of 1956, which was later amended and renamed to the Immoral Traffic Prevention Act (ITPA) in 1986. While upholding the literal meaning, the act effectively criminalizes most aspects of sex work without directly prohibiting the exchange if sexual services for money and also under Sec 3, 4, 5 criminalizes maintaining a brothel, living off the earning of prostitution and procuring or inducing a person for prostitution respectively. Moreover</w:t>
      </w:r>
      <w:r w:rsidR="00FB71E1" w:rsidRPr="00913B4A">
        <w:rPr>
          <w:rFonts w:ascii="Times New Roman" w:hAnsi="Times New Roman" w:cs="Times New Roman"/>
        </w:rPr>
        <w:t>,</w:t>
      </w:r>
      <w:r w:rsidRPr="00913B4A">
        <w:rPr>
          <w:rFonts w:ascii="Times New Roman" w:hAnsi="Times New Roman" w:cs="Times New Roman"/>
        </w:rPr>
        <w:t xml:space="preserve"> the act also under Sec 6 prohibits detaining a person for prostitution if he/she is an adult and involves in this activity with free consent and also Sec 7 prohibits prostitution near public places to prevent public nuisance and Sec 8 simultaneously criminalized soliciting for prostitution. </w:t>
      </w:r>
      <w:r w:rsidR="00FB71E1" w:rsidRPr="00913B4A">
        <w:rPr>
          <w:rFonts w:ascii="Times New Roman" w:hAnsi="Times New Roman" w:cs="Times New Roman"/>
        </w:rPr>
        <w:t>These legislative initiatives</w:t>
      </w:r>
      <w:r w:rsidRPr="00913B4A">
        <w:rPr>
          <w:rFonts w:ascii="Times New Roman" w:hAnsi="Times New Roman" w:cs="Times New Roman"/>
        </w:rPr>
        <w:t xml:space="preserve"> </w:t>
      </w:r>
      <w:r w:rsidR="00FB71E1" w:rsidRPr="00913B4A">
        <w:rPr>
          <w:rFonts w:ascii="Times New Roman" w:hAnsi="Times New Roman" w:cs="Times New Roman"/>
        </w:rPr>
        <w:t>have given a mischief interpretation of law by creating a situation where sex workers are legally recognized neither as criminals nor as legitimate workers rendering them particularly vulnerable to exploitation and abuse to coexist in the society.</w:t>
      </w:r>
    </w:p>
    <w:p w14:paraId="0C069D93" w14:textId="1D4EF07C" w:rsidR="00FB71E1" w:rsidRPr="00913B4A" w:rsidRDefault="00FB71E1" w:rsidP="00913B4A">
      <w:pPr>
        <w:jc w:val="both"/>
        <w:rPr>
          <w:rFonts w:ascii="Times New Roman" w:hAnsi="Times New Roman" w:cs="Times New Roman"/>
        </w:rPr>
      </w:pPr>
      <w:r w:rsidRPr="00913B4A">
        <w:rPr>
          <w:rFonts w:ascii="Times New Roman" w:hAnsi="Times New Roman" w:cs="Times New Roman"/>
        </w:rPr>
        <w:t xml:space="preserve">The constitutional validity of these provisions </w:t>
      </w:r>
      <w:proofErr w:type="gramStart"/>
      <w:r w:rsidRPr="00913B4A">
        <w:rPr>
          <w:rFonts w:ascii="Times New Roman" w:hAnsi="Times New Roman" w:cs="Times New Roman"/>
        </w:rPr>
        <w:t>were</w:t>
      </w:r>
      <w:proofErr w:type="gramEnd"/>
      <w:r w:rsidRPr="00913B4A">
        <w:rPr>
          <w:rFonts w:ascii="Times New Roman" w:hAnsi="Times New Roman" w:cs="Times New Roman"/>
        </w:rPr>
        <w:t xml:space="preserve"> subjected to judicial scrutiny is several cases which include Gaurav Jain v Union of India case, the Supreme Court upheld the constitutional validity of the ITPA act, side by side emphasizing the reformative measure of rehabilitation rather than criminalization of sex workers</w:t>
      </w:r>
      <w:r w:rsidRPr="00913B4A">
        <w:rPr>
          <w:rStyle w:val="FootnoteReference"/>
          <w:rFonts w:ascii="Times New Roman" w:hAnsi="Times New Roman" w:cs="Times New Roman"/>
        </w:rPr>
        <w:footnoteReference w:id="5"/>
      </w:r>
      <w:r w:rsidRPr="00913B4A">
        <w:rPr>
          <w:rFonts w:ascii="Times New Roman" w:hAnsi="Times New Roman" w:cs="Times New Roman"/>
        </w:rPr>
        <w:t>. Similarly, in State of Uttar Pradesh v Kaushalya</w:t>
      </w:r>
      <w:r w:rsidR="00B33DF6" w:rsidRPr="00913B4A">
        <w:rPr>
          <w:rStyle w:val="FootnoteReference"/>
          <w:rFonts w:ascii="Times New Roman" w:hAnsi="Times New Roman" w:cs="Times New Roman"/>
        </w:rPr>
        <w:footnoteReference w:id="6"/>
      </w:r>
      <w:r w:rsidRPr="00913B4A">
        <w:rPr>
          <w:rFonts w:ascii="Times New Roman" w:hAnsi="Times New Roman" w:cs="Times New Roman"/>
        </w:rPr>
        <w:t>, the court acknowledged that Art 19(1)(g) of the constitution guarantees the right to practice any profession, could theoretically extend to sex work but could be reasonably restricted under Art 19(6) in the interest of public morality. These early interpretations of judicial precedents reinforced the ambiguous status of sex work being neither fully prohibited nor protected as legitimate labour,</w:t>
      </w:r>
    </w:p>
    <w:p w14:paraId="56C1865C" w14:textId="7AC5F2E7" w:rsidR="00FB71E1" w:rsidRPr="00913B4A" w:rsidRDefault="00B33DF6" w:rsidP="00913B4A">
      <w:pPr>
        <w:pStyle w:val="ListParagraph"/>
        <w:numPr>
          <w:ilvl w:val="0"/>
          <w:numId w:val="6"/>
        </w:numPr>
        <w:jc w:val="both"/>
        <w:rPr>
          <w:rFonts w:ascii="Times New Roman" w:hAnsi="Times New Roman" w:cs="Times New Roman"/>
          <w:b/>
          <w:bCs/>
        </w:rPr>
      </w:pPr>
      <w:r w:rsidRPr="00913B4A">
        <w:rPr>
          <w:rFonts w:ascii="Times New Roman" w:hAnsi="Times New Roman" w:cs="Times New Roman"/>
          <w:b/>
          <w:bCs/>
        </w:rPr>
        <w:t>Contemporary</w:t>
      </w:r>
      <w:r w:rsidR="00FB71E1" w:rsidRPr="00913B4A">
        <w:rPr>
          <w:rFonts w:ascii="Times New Roman" w:hAnsi="Times New Roman" w:cs="Times New Roman"/>
          <w:b/>
          <w:bCs/>
        </w:rPr>
        <w:t xml:space="preserve"> Legal Framework and its Contradictions</w:t>
      </w:r>
    </w:p>
    <w:p w14:paraId="7B66F8BB" w14:textId="78604A82" w:rsidR="00FB71E1" w:rsidRPr="00913B4A" w:rsidRDefault="00B33DF6" w:rsidP="00913B4A">
      <w:pPr>
        <w:jc w:val="both"/>
        <w:rPr>
          <w:rFonts w:ascii="Times New Roman" w:hAnsi="Times New Roman" w:cs="Times New Roman"/>
        </w:rPr>
      </w:pPr>
      <w:r w:rsidRPr="00913B4A">
        <w:rPr>
          <w:rFonts w:ascii="Times New Roman" w:hAnsi="Times New Roman" w:cs="Times New Roman"/>
        </w:rPr>
        <w:t>The current legal regime governing sex work in India is characterized by profound contradictions that undermine protection of rights of sex workers. While the act of exchanging sexual services for money is not explicitly criminalized or punished, the virtual criminalization of all other surrounding activities creates a de facto prohibition on the act that eventually drives sex workers undergoing a the heightens vulnerabilities</w:t>
      </w:r>
      <w:r w:rsidRPr="00913B4A">
        <w:rPr>
          <w:rStyle w:val="FootnoteReference"/>
          <w:rFonts w:ascii="Times New Roman" w:hAnsi="Times New Roman" w:cs="Times New Roman"/>
        </w:rPr>
        <w:footnoteReference w:id="7"/>
      </w:r>
      <w:r w:rsidRPr="00913B4A">
        <w:rPr>
          <w:rFonts w:ascii="Times New Roman" w:hAnsi="Times New Roman" w:cs="Times New Roman"/>
        </w:rPr>
        <w:t>. This “criminalizing the periphery” approach of law has been criticized by legal scholars and human rights advocates as creating conditions where the violation of rights flourish while providing minimal protective benefits.</w:t>
      </w:r>
    </w:p>
    <w:p w14:paraId="14EA3B40" w14:textId="573DEA2F" w:rsidR="007944AA" w:rsidRPr="00913B4A" w:rsidRDefault="00B33DF6" w:rsidP="00913B4A">
      <w:pPr>
        <w:jc w:val="both"/>
        <w:rPr>
          <w:rFonts w:ascii="Times New Roman" w:hAnsi="Times New Roman" w:cs="Times New Roman"/>
        </w:rPr>
      </w:pPr>
      <w:r w:rsidRPr="00913B4A">
        <w:rPr>
          <w:rFonts w:ascii="Times New Roman" w:hAnsi="Times New Roman" w:cs="Times New Roman"/>
        </w:rPr>
        <w:t>The enforcement of ITPA provisions have disproportionately targeted street-based sex workers from marginalized communities while leaving intact the broader structures of exploitation</w:t>
      </w:r>
      <w:r w:rsidRPr="00913B4A">
        <w:rPr>
          <w:rStyle w:val="FootnoteReference"/>
          <w:rFonts w:ascii="Times New Roman" w:hAnsi="Times New Roman" w:cs="Times New Roman"/>
        </w:rPr>
        <w:footnoteReference w:id="8"/>
      </w:r>
      <w:r w:rsidRPr="00913B4A">
        <w:rPr>
          <w:rFonts w:ascii="Times New Roman" w:hAnsi="Times New Roman" w:cs="Times New Roman"/>
        </w:rPr>
        <w:t xml:space="preserve">. For instance, being it the police raids on brothels conducted under Sec 15 of the said act frequently results in an arbitrary detention and violation of rights of sex workers </w:t>
      </w:r>
      <w:r w:rsidRPr="00913B4A">
        <w:rPr>
          <w:rFonts w:ascii="Times New Roman" w:hAnsi="Times New Roman" w:cs="Times New Roman"/>
        </w:rPr>
        <w:lastRenderedPageBreak/>
        <w:t>rather than providing a meaningful protection of trafficking victims. The conflation of consensual adult sex work with human trafficking is both a legislative framing and also enforcement practices t</w:t>
      </w:r>
      <w:r w:rsidR="007944AA" w:rsidRPr="00913B4A">
        <w:rPr>
          <w:rFonts w:ascii="Times New Roman" w:hAnsi="Times New Roman" w:cs="Times New Roman"/>
        </w:rPr>
        <w:t>h</w:t>
      </w:r>
      <w:r w:rsidRPr="00913B4A">
        <w:rPr>
          <w:rFonts w:ascii="Times New Roman" w:hAnsi="Times New Roman" w:cs="Times New Roman"/>
        </w:rPr>
        <w:t xml:space="preserve">at has further complicated protection of rights along with the </w:t>
      </w:r>
      <w:r w:rsidR="007944AA" w:rsidRPr="00913B4A">
        <w:rPr>
          <w:rFonts w:ascii="Times New Roman" w:hAnsi="Times New Roman" w:cs="Times New Roman"/>
        </w:rPr>
        <w:t>anti-trafficking interventions which violated the rights of consensual adult sex workers through forced rescue and detention. In Addition to it, Several High Courts have addressed  these contradictions and their harmful consequences, in the case of Tara v State</w:t>
      </w:r>
      <w:r w:rsidR="007944AA" w:rsidRPr="00913B4A">
        <w:rPr>
          <w:rStyle w:val="FootnoteReference"/>
          <w:rFonts w:ascii="Times New Roman" w:hAnsi="Times New Roman" w:cs="Times New Roman"/>
        </w:rPr>
        <w:footnoteReference w:id="9"/>
      </w:r>
      <w:r w:rsidR="007944AA" w:rsidRPr="00913B4A">
        <w:rPr>
          <w:rFonts w:ascii="Times New Roman" w:hAnsi="Times New Roman" w:cs="Times New Roman"/>
        </w:rPr>
        <w:t xml:space="preserve"> where the Delhi High court acknowledged the status of  criminalization increase rather than a decrease in the vulnerability of sex workers to violence and exploitation. Similarly, in the case of </w:t>
      </w:r>
      <w:proofErr w:type="spellStart"/>
      <w:r w:rsidR="007944AA" w:rsidRPr="00913B4A">
        <w:rPr>
          <w:rFonts w:ascii="Times New Roman" w:hAnsi="Times New Roman" w:cs="Times New Roman"/>
        </w:rPr>
        <w:t>Sahyog</w:t>
      </w:r>
      <w:proofErr w:type="spellEnd"/>
      <w:r w:rsidR="007944AA" w:rsidRPr="00913B4A">
        <w:rPr>
          <w:rFonts w:ascii="Times New Roman" w:hAnsi="Times New Roman" w:cs="Times New Roman"/>
        </w:rPr>
        <w:t xml:space="preserve"> Mahila Mandal v State of Gujarat</w:t>
      </w:r>
      <w:r w:rsidR="007944AA" w:rsidRPr="00913B4A">
        <w:rPr>
          <w:rStyle w:val="FootnoteReference"/>
          <w:rFonts w:ascii="Times New Roman" w:hAnsi="Times New Roman" w:cs="Times New Roman"/>
        </w:rPr>
        <w:footnoteReference w:id="10"/>
      </w:r>
      <w:r w:rsidR="007944AA" w:rsidRPr="00913B4A">
        <w:rPr>
          <w:rFonts w:ascii="Times New Roman" w:hAnsi="Times New Roman" w:cs="Times New Roman"/>
        </w:rPr>
        <w:t>, the Gujarat High court emphasized the need to distinguish between the consensual adult sex work and trafficking for the purpose of commercial sexual exploitation.</w:t>
      </w:r>
      <w:r w:rsidR="0079101F" w:rsidRPr="00913B4A">
        <w:rPr>
          <w:rFonts w:ascii="Times New Roman" w:hAnsi="Times New Roman" w:cs="Times New Roman"/>
        </w:rPr>
        <w:t xml:space="preserve"> These judicial interpretations reflect the growing recognition of the inadequacy of the current legal approach in protecting the human rights of sex workers.</w:t>
      </w:r>
    </w:p>
    <w:p w14:paraId="74853A77" w14:textId="39D16CE8" w:rsidR="0079101F" w:rsidRPr="00913B4A" w:rsidRDefault="0079101F" w:rsidP="00913B4A">
      <w:pPr>
        <w:jc w:val="both"/>
        <w:rPr>
          <w:rFonts w:ascii="Times New Roman" w:hAnsi="Times New Roman" w:cs="Times New Roman"/>
        </w:rPr>
      </w:pPr>
      <w:r w:rsidRPr="00913B4A">
        <w:rPr>
          <w:rFonts w:ascii="Times New Roman" w:hAnsi="Times New Roman" w:cs="Times New Roman"/>
        </w:rPr>
        <w:t>The contradictory legal framework further complicated by the introduction of new legislation policy such as the Trafficking of Persons(prevention, protection and rehabilitation)Bill, has initially failed to distinguish adequately between consensual sex work and trafficking. The persistent conflation of these distinct phenomena in the legislative approach has resulted in the interventions which frequently violate rather protects the rights of adult sex workers who have entered the profession by choice or by circumstances rather than coercions.</w:t>
      </w:r>
    </w:p>
    <w:p w14:paraId="134E2864" w14:textId="18CF76C6" w:rsidR="0079101F" w:rsidRPr="00913B4A" w:rsidRDefault="0079101F" w:rsidP="00913B4A">
      <w:pPr>
        <w:jc w:val="both"/>
        <w:rPr>
          <w:rFonts w:ascii="Times New Roman" w:hAnsi="Times New Roman" w:cs="Times New Roman"/>
          <w:b/>
          <w:bCs/>
        </w:rPr>
      </w:pPr>
      <w:r w:rsidRPr="00913B4A">
        <w:rPr>
          <w:rFonts w:ascii="Times New Roman" w:hAnsi="Times New Roman" w:cs="Times New Roman"/>
          <w:b/>
          <w:bCs/>
        </w:rPr>
        <w:t>III. Constitutional Framework and Judicial Interventions</w:t>
      </w:r>
    </w:p>
    <w:p w14:paraId="065642C8" w14:textId="2D1D195C" w:rsidR="00FB71E1" w:rsidRPr="00913B4A" w:rsidRDefault="0079101F" w:rsidP="00913B4A">
      <w:pPr>
        <w:pStyle w:val="ListParagraph"/>
        <w:numPr>
          <w:ilvl w:val="0"/>
          <w:numId w:val="6"/>
        </w:numPr>
        <w:jc w:val="both"/>
        <w:rPr>
          <w:rFonts w:ascii="Times New Roman" w:hAnsi="Times New Roman" w:cs="Times New Roman"/>
          <w:b/>
          <w:bCs/>
        </w:rPr>
      </w:pPr>
      <w:r w:rsidRPr="00913B4A">
        <w:rPr>
          <w:rFonts w:ascii="Times New Roman" w:hAnsi="Times New Roman" w:cs="Times New Roman"/>
          <w:b/>
          <w:bCs/>
        </w:rPr>
        <w:t>Constitutional Rights and Sex Work</w:t>
      </w:r>
    </w:p>
    <w:p w14:paraId="74388B8C" w14:textId="369252B8" w:rsidR="0079101F" w:rsidRPr="00913B4A" w:rsidRDefault="0079101F" w:rsidP="00913B4A">
      <w:pPr>
        <w:jc w:val="both"/>
        <w:rPr>
          <w:rFonts w:ascii="Times New Roman" w:hAnsi="Times New Roman" w:cs="Times New Roman"/>
        </w:rPr>
      </w:pPr>
      <w:r w:rsidRPr="00913B4A">
        <w:rPr>
          <w:rFonts w:ascii="Times New Roman" w:hAnsi="Times New Roman" w:cs="Times New Roman"/>
        </w:rPr>
        <w:t>Our Indian Constitution provides  for a robust framework on fundamental rights that theoretically extend to all citizens, including sex workers which include Article 14 which guarantees equality before the law and equal protection of Law, Article 15 which prohibits discrimination on grounds of religion, race, caste, sex, or place of birth, Article 19 ensures various freedoms including the freedom to practice any profession, and Article 21 protecting the right to life and personal liberty. These constitutional provisions have established the foundation for examining sex workers’ claim on rights within the Indian Legal Framework.</w:t>
      </w:r>
    </w:p>
    <w:p w14:paraId="06EBA202" w14:textId="40F4051D" w:rsidR="0079101F" w:rsidRPr="00913B4A" w:rsidRDefault="0079101F" w:rsidP="00913B4A">
      <w:pPr>
        <w:jc w:val="both"/>
        <w:rPr>
          <w:rFonts w:ascii="Times New Roman" w:hAnsi="Times New Roman" w:cs="Times New Roman"/>
        </w:rPr>
      </w:pPr>
      <w:r w:rsidRPr="00913B4A">
        <w:rPr>
          <w:rFonts w:ascii="Times New Roman" w:hAnsi="Times New Roman" w:cs="Times New Roman"/>
        </w:rPr>
        <w:t>Various judicial precedents under Art 21 included protection of right to life included the right to live with dignity, health, shelter and livelihood</w:t>
      </w:r>
      <w:r w:rsidR="000770EF" w:rsidRPr="00913B4A">
        <w:rPr>
          <w:rStyle w:val="FootnoteReference"/>
          <w:rFonts w:ascii="Times New Roman" w:hAnsi="Times New Roman" w:cs="Times New Roman"/>
        </w:rPr>
        <w:footnoteReference w:id="11"/>
      </w:r>
      <w:r w:rsidRPr="00913B4A">
        <w:rPr>
          <w:rFonts w:ascii="Times New Roman" w:hAnsi="Times New Roman" w:cs="Times New Roman"/>
        </w:rPr>
        <w:t>. In Francis Coralie Mullin v Administrator, Union Territory of Delhi</w:t>
      </w:r>
      <w:r w:rsidR="000770EF" w:rsidRPr="00913B4A">
        <w:rPr>
          <w:rFonts w:ascii="Times New Roman" w:hAnsi="Times New Roman" w:cs="Times New Roman"/>
        </w:rPr>
        <w:t>, the court held that the right to life includes right to live with human dignity along with it the including bare necessities of life such as adequate nutrition, clothing, shelter and facilities for reading, writing and expressing oneself in diverse forms. This expansion of Art 21 and Art 19(6) has its relevance to Sex Workers whose dignity is routinely violated through stigmatization, discrimination and harassment and also raised questions for including sex work as profession.</w:t>
      </w:r>
      <w:r w:rsidR="00B76F0E" w:rsidRPr="00913B4A">
        <w:rPr>
          <w:rFonts w:ascii="Times New Roman" w:hAnsi="Times New Roman" w:cs="Times New Roman"/>
        </w:rPr>
        <w:t xml:space="preserve"> While the Supreme Court has upheld that this provision could theoretically protect sex work as a profession, it has generally allowed for restrictions under Art 19(6) based on considerations of public morality. However, the evolving jurisprudence on privacy, autonomy, and dignity has begun to challenge these restrictive interpretations, with recent judgments recognizing that public morality alone cannot justify the infringement of constitutional rights.</w:t>
      </w:r>
    </w:p>
    <w:p w14:paraId="0B68C926" w14:textId="77777777" w:rsidR="00913B4A" w:rsidRDefault="00913B4A" w:rsidP="00913B4A">
      <w:pPr>
        <w:jc w:val="both"/>
        <w:rPr>
          <w:rFonts w:ascii="Times New Roman" w:hAnsi="Times New Roman" w:cs="Times New Roman"/>
        </w:rPr>
      </w:pPr>
    </w:p>
    <w:p w14:paraId="093E20E8" w14:textId="5023E082" w:rsidR="00B76F0E" w:rsidRPr="00913B4A" w:rsidRDefault="00B76F0E" w:rsidP="00913B4A">
      <w:pPr>
        <w:pStyle w:val="ListParagraph"/>
        <w:numPr>
          <w:ilvl w:val="0"/>
          <w:numId w:val="6"/>
        </w:numPr>
        <w:jc w:val="both"/>
        <w:rPr>
          <w:rFonts w:ascii="Times New Roman" w:hAnsi="Times New Roman" w:cs="Times New Roman"/>
          <w:b/>
          <w:bCs/>
        </w:rPr>
      </w:pPr>
      <w:r w:rsidRPr="00913B4A">
        <w:rPr>
          <w:rFonts w:ascii="Times New Roman" w:hAnsi="Times New Roman" w:cs="Times New Roman"/>
          <w:b/>
          <w:bCs/>
        </w:rPr>
        <w:lastRenderedPageBreak/>
        <w:t>Landmark Judicial Decisions on Rights of Sex Workers</w:t>
      </w:r>
    </w:p>
    <w:p w14:paraId="403D9E2D" w14:textId="045E065E" w:rsidR="008B302C" w:rsidRPr="00913B4A" w:rsidRDefault="008B302C" w:rsidP="00913B4A">
      <w:pPr>
        <w:jc w:val="both"/>
        <w:rPr>
          <w:rFonts w:ascii="Times New Roman" w:hAnsi="Times New Roman" w:cs="Times New Roman"/>
          <w:color w:val="000000" w:themeColor="text1"/>
        </w:rPr>
      </w:pPr>
      <w:r w:rsidRPr="00913B4A">
        <w:rPr>
          <w:rFonts w:ascii="Times New Roman" w:hAnsi="Times New Roman" w:cs="Times New Roman"/>
        </w:rPr>
        <w:t>The judiciary has played a crucial role in advancing the rights of sex workers through several landmark decisions that have progressively recognized their entitlement to constitutional protections. The most significant of these is the ongoing Budhadev Karmaskar v. State of West Bengal case</w:t>
      </w:r>
      <w:r w:rsidRPr="00913B4A">
        <w:rPr>
          <w:rStyle w:val="FootnoteReference"/>
          <w:rFonts w:ascii="Times New Roman" w:hAnsi="Times New Roman" w:cs="Times New Roman"/>
        </w:rPr>
        <w:footnoteReference w:id="12"/>
      </w:r>
      <w:r w:rsidRPr="00913B4A">
        <w:rPr>
          <w:rFonts w:ascii="Times New Roman" w:hAnsi="Times New Roman" w:cs="Times New Roman"/>
        </w:rPr>
        <w:t xml:space="preserve">, which began as a criminal appeal regarding the murder of a sex worker but evolved into a comprehensive public interest litigation addressing the broader rights of sex workers nationwide. </w:t>
      </w:r>
      <w:r w:rsidRPr="00913B4A">
        <w:rPr>
          <w:rFonts w:ascii="Times New Roman" w:hAnsi="Times New Roman" w:cs="Times New Roman"/>
          <w:color w:val="000000" w:themeColor="text1"/>
        </w:rPr>
        <w:t>In the interim orders in the above case, the Supreme Court issued several directives which significantly advance sex workers’ rights which included in 2011, the Court observed that sex workers are entitled to a life of dignity under Article 21 and directed central and state governments to develop rehabilitation programs for those who wish to leave sex work.</w:t>
      </w:r>
      <w:r w:rsidRPr="00913B4A">
        <w:rPr>
          <w:rStyle w:val="FootnoteReference"/>
          <w:rFonts w:ascii="Times New Roman" w:hAnsi="Times New Roman" w:cs="Times New Roman"/>
          <w:color w:val="000000" w:themeColor="text1"/>
        </w:rPr>
        <w:footnoteReference w:id="13"/>
      </w:r>
      <w:r w:rsidRPr="00913B4A">
        <w:rPr>
          <w:rFonts w:ascii="Times New Roman" w:hAnsi="Times New Roman" w:cs="Times New Roman"/>
          <w:color w:val="000000" w:themeColor="text1"/>
        </w:rPr>
        <w:t xml:space="preserve"> Moreover, the Court emphasized that rehabilitation must be voluntary rather than coercive, recognizing sex worker’s agency and choice. </w:t>
      </w:r>
    </w:p>
    <w:p w14:paraId="51122EFC" w14:textId="77777777" w:rsidR="008B302C" w:rsidRPr="00913B4A" w:rsidRDefault="008B302C" w:rsidP="00913B4A">
      <w:pPr>
        <w:pStyle w:val="BodyText"/>
        <w:jc w:val="both"/>
        <w:rPr>
          <w:rFonts w:ascii="Times New Roman" w:hAnsi="Times New Roman" w:cs="Times New Roman"/>
          <w:color w:val="000000" w:themeColor="text1"/>
        </w:rPr>
      </w:pPr>
      <w:r w:rsidRPr="00913B4A">
        <w:rPr>
          <w:rFonts w:ascii="Times New Roman" w:hAnsi="Times New Roman" w:cs="Times New Roman"/>
          <w:color w:val="000000" w:themeColor="text1"/>
        </w:rPr>
        <w:t>Building on these initial observations, in May 2022, the Supreme Court issued comprehensive directives recognizing sex work as a profession and affirming sex workers’ entitlement to dignity</w:t>
      </w:r>
      <w:r w:rsidRPr="00913B4A">
        <w:rPr>
          <w:rFonts w:ascii="Times New Roman" w:hAnsi="Times New Roman" w:cs="Times New Roman"/>
        </w:rPr>
        <w:t xml:space="preserve"> </w:t>
      </w:r>
      <w:r w:rsidRPr="00913B4A">
        <w:rPr>
          <w:rFonts w:ascii="Times New Roman" w:hAnsi="Times New Roman" w:cs="Times New Roman"/>
          <w:color w:val="000000" w:themeColor="text1"/>
        </w:rPr>
        <w:t>and equal protection regardless of their profession.</w:t>
      </w:r>
      <w:r w:rsidRPr="00913B4A">
        <w:rPr>
          <w:rStyle w:val="FootnoteReference"/>
          <w:rFonts w:ascii="Times New Roman" w:hAnsi="Times New Roman" w:cs="Times New Roman"/>
          <w:color w:val="000000" w:themeColor="text1"/>
        </w:rPr>
        <w:footnoteReference w:id="14"/>
      </w:r>
      <w:r w:rsidRPr="00913B4A">
        <w:rPr>
          <w:rFonts w:ascii="Times New Roman" w:hAnsi="Times New Roman" w:cs="Times New Roman"/>
          <w:color w:val="000000" w:themeColor="text1"/>
        </w:rPr>
        <w:t xml:space="preserve"> The Court directed police not to interfere or take criminal action against consenting adult sex workers, emphasized that sex workers are entitled to equal protection under the law, and directed that sex workers should not be arrested, penalized, harassed, or victimized during raids on brothels. Furthermore, the Court recognized the right of sex workers to refuse the services and directed that their children should not be separated from mothers merely on the ground that the mother is a sex worker.</w:t>
      </w:r>
    </w:p>
    <w:p w14:paraId="1BED8B21" w14:textId="77677D72" w:rsidR="00913B4A" w:rsidRPr="00913B4A" w:rsidRDefault="008B302C" w:rsidP="00913B4A">
      <w:pPr>
        <w:pStyle w:val="BodyText"/>
        <w:jc w:val="both"/>
        <w:rPr>
          <w:rFonts w:ascii="Times New Roman" w:hAnsi="Times New Roman" w:cs="Times New Roman"/>
          <w:color w:val="000000" w:themeColor="text1"/>
        </w:rPr>
      </w:pPr>
      <w:r w:rsidRPr="00913B4A">
        <w:rPr>
          <w:rFonts w:ascii="Times New Roman" w:hAnsi="Times New Roman" w:cs="Times New Roman"/>
          <w:color w:val="000000" w:themeColor="text1"/>
        </w:rPr>
        <w:t xml:space="preserve">Other significant judicial interventions include the </w:t>
      </w:r>
      <w:r w:rsidRPr="00913B4A">
        <w:rPr>
          <w:rFonts w:ascii="Times New Roman" w:hAnsi="Times New Roman" w:cs="Times New Roman"/>
          <w:i/>
          <w:iCs/>
          <w:color w:val="000000" w:themeColor="text1"/>
        </w:rPr>
        <w:t>Tara v. State</w:t>
      </w:r>
      <w:r w:rsidRPr="00913B4A">
        <w:rPr>
          <w:rFonts w:ascii="Times New Roman" w:hAnsi="Times New Roman" w:cs="Times New Roman"/>
          <w:color w:val="000000" w:themeColor="text1"/>
        </w:rPr>
        <w:t xml:space="preserve"> case, where the Delhi High Court held that adult women have the right to choose their vocation and cannot be detained without consent for rehabilitation. Similarly, in </w:t>
      </w:r>
      <w:r w:rsidRPr="00913B4A">
        <w:rPr>
          <w:rFonts w:ascii="Times New Roman" w:hAnsi="Times New Roman" w:cs="Times New Roman"/>
          <w:i/>
          <w:iCs/>
          <w:color w:val="000000" w:themeColor="text1"/>
        </w:rPr>
        <w:t>DMSC v. State of West Bengal</w:t>
      </w:r>
      <w:r w:rsidRPr="00913B4A">
        <w:rPr>
          <w:rFonts w:ascii="Times New Roman" w:hAnsi="Times New Roman" w:cs="Times New Roman"/>
          <w:color w:val="000000" w:themeColor="text1"/>
        </w:rPr>
        <w:t>, the Calcutta High Court directed the state government not to interfere with the health initiatives of sex worker collectives aimed at HIV prevention.</w:t>
      </w:r>
      <w:r w:rsidRPr="00913B4A">
        <w:rPr>
          <w:rStyle w:val="FootnoteReference"/>
          <w:rFonts w:ascii="Times New Roman" w:hAnsi="Times New Roman" w:cs="Times New Roman"/>
          <w:color w:val="000000" w:themeColor="text1"/>
        </w:rPr>
        <w:footnoteReference w:id="15"/>
      </w:r>
      <w:r w:rsidRPr="00913B4A">
        <w:rPr>
          <w:rFonts w:ascii="Times New Roman" w:hAnsi="Times New Roman" w:cs="Times New Roman"/>
          <w:color w:val="000000" w:themeColor="text1"/>
        </w:rPr>
        <w:t xml:space="preserve"> These decisions collectively establish a judicial recognition of sex workers’ agency and rights that stands in contrast to the more punitive approach reflected in legislation.</w:t>
      </w:r>
    </w:p>
    <w:p w14:paraId="38FDFCD6" w14:textId="134D9D58" w:rsidR="000770EF" w:rsidRPr="00913B4A" w:rsidRDefault="008B302C" w:rsidP="00913B4A">
      <w:pPr>
        <w:pStyle w:val="ListParagraph"/>
        <w:numPr>
          <w:ilvl w:val="0"/>
          <w:numId w:val="6"/>
        </w:numPr>
        <w:jc w:val="both"/>
        <w:rPr>
          <w:rFonts w:ascii="Times New Roman" w:hAnsi="Times New Roman" w:cs="Times New Roman"/>
          <w:b/>
          <w:bCs/>
        </w:rPr>
      </w:pPr>
      <w:r w:rsidRPr="00913B4A">
        <w:rPr>
          <w:rFonts w:ascii="Times New Roman" w:hAnsi="Times New Roman" w:cs="Times New Roman"/>
          <w:b/>
          <w:bCs/>
        </w:rPr>
        <w:t>Impact of Recent Constitutional Jurisprudence</w:t>
      </w:r>
    </w:p>
    <w:p w14:paraId="7FD1E4CE" w14:textId="6ED43F9E" w:rsidR="00FA35A8" w:rsidRPr="00913B4A" w:rsidRDefault="00FA35A8" w:rsidP="00913B4A">
      <w:pPr>
        <w:pStyle w:val="FirstParagraph"/>
        <w:jc w:val="both"/>
        <w:rPr>
          <w:rFonts w:ascii="Times New Roman" w:hAnsi="Times New Roman" w:cs="Times New Roman"/>
          <w:color w:val="000000" w:themeColor="text1"/>
        </w:rPr>
      </w:pPr>
      <w:r w:rsidRPr="00913B4A">
        <w:rPr>
          <w:rFonts w:ascii="Times New Roman" w:hAnsi="Times New Roman" w:cs="Times New Roman"/>
        </w:rPr>
        <w:t xml:space="preserve">The  recent past years  have </w:t>
      </w:r>
      <w:r w:rsidRPr="00913B4A">
        <w:rPr>
          <w:rFonts w:ascii="Times New Roman" w:hAnsi="Times New Roman" w:cs="Times New Roman"/>
          <w:color w:val="000000" w:themeColor="text1"/>
        </w:rPr>
        <w:t xml:space="preserve">witnessed significant evolution in constitutional jurisprudence on privacy, autonomy, and non-discrimination that has implications for right of sex workers. The Supreme Court’s landmark judgment in </w:t>
      </w:r>
      <w:r w:rsidRPr="00913B4A">
        <w:rPr>
          <w:rFonts w:ascii="Times New Roman" w:hAnsi="Times New Roman" w:cs="Times New Roman"/>
          <w:i/>
          <w:iCs/>
          <w:color w:val="000000" w:themeColor="text1"/>
        </w:rPr>
        <w:t xml:space="preserve">Justice K.S. </w:t>
      </w:r>
      <w:proofErr w:type="spellStart"/>
      <w:r w:rsidRPr="00913B4A">
        <w:rPr>
          <w:rFonts w:ascii="Times New Roman" w:hAnsi="Times New Roman" w:cs="Times New Roman"/>
          <w:i/>
          <w:iCs/>
          <w:color w:val="000000" w:themeColor="text1"/>
        </w:rPr>
        <w:t>Puttaswamy</w:t>
      </w:r>
      <w:proofErr w:type="spellEnd"/>
      <w:r w:rsidRPr="00913B4A">
        <w:rPr>
          <w:rFonts w:ascii="Times New Roman" w:hAnsi="Times New Roman" w:cs="Times New Roman"/>
          <w:i/>
          <w:iCs/>
          <w:color w:val="000000" w:themeColor="text1"/>
        </w:rPr>
        <w:t xml:space="preserve"> v. Union of India</w:t>
      </w:r>
      <w:r w:rsidRPr="00913B4A">
        <w:rPr>
          <w:rFonts w:ascii="Times New Roman" w:hAnsi="Times New Roman" w:cs="Times New Roman"/>
          <w:color w:val="000000" w:themeColor="text1"/>
        </w:rPr>
        <w:t xml:space="preserve"> recognized privacy as a fundamental right under Article 21, encompassing decisional autonomy regarding personal choices.</w:t>
      </w:r>
      <w:r w:rsidRPr="00913B4A">
        <w:rPr>
          <w:rStyle w:val="FootnoteReference"/>
          <w:rFonts w:ascii="Times New Roman" w:hAnsi="Times New Roman" w:cs="Times New Roman"/>
          <w:color w:val="000000" w:themeColor="text1"/>
        </w:rPr>
        <w:footnoteReference w:id="16"/>
      </w:r>
      <w:r w:rsidRPr="00913B4A">
        <w:rPr>
          <w:rFonts w:ascii="Times New Roman" w:hAnsi="Times New Roman" w:cs="Times New Roman"/>
          <w:color w:val="000000" w:themeColor="text1"/>
        </w:rPr>
        <w:t xml:space="preserve"> This recognition of decisional privacy has potentially extended to choices regarding bodily autonomy and sexuality, including the decision to engage in sex work.</w:t>
      </w:r>
    </w:p>
    <w:p w14:paraId="672D5B5A" w14:textId="5F9984D6" w:rsidR="00FA35A8" w:rsidRPr="00913B4A" w:rsidRDefault="00FA35A8" w:rsidP="00913B4A">
      <w:pPr>
        <w:pStyle w:val="BodyText"/>
        <w:jc w:val="both"/>
        <w:rPr>
          <w:rFonts w:ascii="Times New Roman" w:hAnsi="Times New Roman" w:cs="Times New Roman"/>
          <w:color w:val="000000" w:themeColor="text1"/>
        </w:rPr>
      </w:pPr>
      <w:r w:rsidRPr="00913B4A">
        <w:rPr>
          <w:rFonts w:ascii="Times New Roman" w:hAnsi="Times New Roman" w:cs="Times New Roman"/>
          <w:color w:val="000000" w:themeColor="text1"/>
        </w:rPr>
        <w:t xml:space="preserve">Similarly, the decriminalization of consensual same-sex relations in </w:t>
      </w:r>
      <w:r w:rsidRPr="00913B4A">
        <w:rPr>
          <w:rFonts w:ascii="Times New Roman" w:hAnsi="Times New Roman" w:cs="Times New Roman"/>
          <w:i/>
          <w:iCs/>
          <w:color w:val="000000" w:themeColor="text1"/>
        </w:rPr>
        <w:t>Navtej Singh Johar v. Union of India</w:t>
      </w:r>
      <w:r w:rsidRPr="00913B4A">
        <w:rPr>
          <w:rFonts w:ascii="Times New Roman" w:hAnsi="Times New Roman" w:cs="Times New Roman"/>
          <w:color w:val="000000" w:themeColor="text1"/>
        </w:rPr>
        <w:t xml:space="preserve"> established important principles regarding the constitutional protection of sexual autonomy and the inadequacy of public morality as a basis for restricting </w:t>
      </w:r>
      <w:r w:rsidRPr="00913B4A">
        <w:rPr>
          <w:rFonts w:ascii="Times New Roman" w:hAnsi="Times New Roman" w:cs="Times New Roman"/>
          <w:color w:val="000000" w:themeColor="text1"/>
        </w:rPr>
        <w:lastRenderedPageBreak/>
        <w:t>constitutional rights.</w:t>
      </w:r>
      <w:r w:rsidRPr="00913B4A">
        <w:rPr>
          <w:rStyle w:val="FootnoteReference"/>
          <w:rFonts w:ascii="Times New Roman" w:hAnsi="Times New Roman" w:cs="Times New Roman"/>
          <w:color w:val="000000" w:themeColor="text1"/>
        </w:rPr>
        <w:footnoteReference w:id="17"/>
      </w:r>
      <w:r w:rsidRPr="00913B4A">
        <w:rPr>
          <w:rFonts w:ascii="Times New Roman" w:hAnsi="Times New Roman" w:cs="Times New Roman"/>
          <w:color w:val="000000" w:themeColor="text1"/>
        </w:rPr>
        <w:t xml:space="preserve"> The Court’s emphasis on constitutional morality over social morality and its recognition of the right to dignity for marginalized sexual minorities establish precedents that could extend to sex workers. Moreover, the Court’s recognition in </w:t>
      </w:r>
      <w:r w:rsidRPr="00913B4A">
        <w:rPr>
          <w:rFonts w:ascii="Times New Roman" w:hAnsi="Times New Roman" w:cs="Times New Roman"/>
          <w:i/>
          <w:iCs/>
          <w:color w:val="000000" w:themeColor="text1"/>
        </w:rPr>
        <w:t>NALSA v. Union of India</w:t>
      </w:r>
      <w:r w:rsidRPr="00913B4A">
        <w:rPr>
          <w:rFonts w:ascii="Times New Roman" w:hAnsi="Times New Roman" w:cs="Times New Roman"/>
          <w:color w:val="000000" w:themeColor="text1"/>
        </w:rPr>
        <w:t xml:space="preserve"> that discrimination on the basis of gender identity violates constitutional rights has particular relevance for transgender sex workers, who face intersectional discrimination based on both their gender identity and occupation.</w:t>
      </w:r>
      <w:r w:rsidRPr="00913B4A">
        <w:rPr>
          <w:rStyle w:val="FootnoteReference"/>
          <w:rFonts w:ascii="Times New Roman" w:hAnsi="Times New Roman" w:cs="Times New Roman"/>
          <w:color w:val="000000" w:themeColor="text1"/>
        </w:rPr>
        <w:footnoteReference w:id="18"/>
      </w:r>
      <w:r w:rsidRPr="00913B4A">
        <w:rPr>
          <w:rFonts w:ascii="Times New Roman" w:hAnsi="Times New Roman" w:cs="Times New Roman"/>
          <w:color w:val="000000" w:themeColor="text1"/>
        </w:rPr>
        <w:t xml:space="preserve"> The principles of inclusion, equality, and non-discrimination articulated in these judgments provide a constitutional foundation for challenging the marginalization of sex workers.</w:t>
      </w:r>
    </w:p>
    <w:p w14:paraId="5633D60C" w14:textId="77777777" w:rsidR="00FA35A8" w:rsidRPr="00913B4A" w:rsidRDefault="00FA35A8" w:rsidP="00913B4A">
      <w:pPr>
        <w:pStyle w:val="BodyText"/>
        <w:jc w:val="both"/>
        <w:rPr>
          <w:rFonts w:ascii="Times New Roman" w:hAnsi="Times New Roman" w:cs="Times New Roman"/>
          <w:color w:val="000000" w:themeColor="text1"/>
        </w:rPr>
      </w:pPr>
      <w:r w:rsidRPr="00913B4A">
        <w:rPr>
          <w:rFonts w:ascii="Times New Roman" w:hAnsi="Times New Roman" w:cs="Times New Roman"/>
          <w:color w:val="000000" w:themeColor="text1"/>
        </w:rPr>
        <w:t>However, the translation of these progressive constitutional principles into practical protection remains incomplete. Despite judicial recognition of sex workers’ rights, implementation gaps persist due to deeply entrenched institutional biases, inadequate training of law enforcement personnel, and the absence of explicit statutory protections. The continued enforcement of provisions under the ITPA, often in violation of the procedural safeguards mandated by the Supreme Court, reflects the challenges in translating judicial directives into effective rights protection at the ground level.</w:t>
      </w:r>
    </w:p>
    <w:p w14:paraId="699BBDF0" w14:textId="77777777" w:rsidR="00FA35A8" w:rsidRPr="00913B4A" w:rsidRDefault="00FA35A8" w:rsidP="00913B4A">
      <w:pPr>
        <w:pStyle w:val="BodyText"/>
        <w:jc w:val="both"/>
        <w:rPr>
          <w:rFonts w:ascii="Times New Roman" w:hAnsi="Times New Roman" w:cs="Times New Roman"/>
          <w:color w:val="000000" w:themeColor="text1"/>
        </w:rPr>
      </w:pPr>
    </w:p>
    <w:p w14:paraId="1FA9038F" w14:textId="3CE995A5" w:rsidR="00FA35A8" w:rsidRPr="00913B4A" w:rsidRDefault="00FA35A8" w:rsidP="00913B4A">
      <w:pPr>
        <w:pStyle w:val="BodyText"/>
        <w:jc w:val="both"/>
        <w:rPr>
          <w:rFonts w:ascii="Times New Roman" w:hAnsi="Times New Roman" w:cs="Times New Roman"/>
          <w:b/>
          <w:bCs/>
          <w:color w:val="000000" w:themeColor="text1"/>
        </w:rPr>
      </w:pPr>
      <w:r w:rsidRPr="00913B4A">
        <w:rPr>
          <w:rFonts w:ascii="Times New Roman" w:hAnsi="Times New Roman" w:cs="Times New Roman"/>
          <w:b/>
          <w:bCs/>
          <w:color w:val="000000" w:themeColor="text1"/>
        </w:rPr>
        <w:t>IV Human Rights Violations and Lived Realities</w:t>
      </w:r>
    </w:p>
    <w:p w14:paraId="5B12D3AA" w14:textId="77777777" w:rsidR="00FA35A8" w:rsidRPr="00913B4A" w:rsidRDefault="00FA35A8" w:rsidP="00913B4A">
      <w:pPr>
        <w:pStyle w:val="Heading3"/>
        <w:numPr>
          <w:ilvl w:val="0"/>
          <w:numId w:val="6"/>
        </w:numPr>
        <w:jc w:val="both"/>
        <w:rPr>
          <w:rFonts w:ascii="Times New Roman" w:hAnsi="Times New Roman" w:cs="Times New Roman"/>
          <w:b/>
          <w:bCs/>
          <w:color w:val="000000" w:themeColor="text1"/>
          <w:sz w:val="24"/>
          <w:szCs w:val="24"/>
        </w:rPr>
      </w:pPr>
      <w:bookmarkStart w:id="3" w:name="violence-and-police-harassment"/>
      <w:r w:rsidRPr="00913B4A">
        <w:rPr>
          <w:rFonts w:ascii="Times New Roman" w:hAnsi="Times New Roman" w:cs="Times New Roman"/>
          <w:b/>
          <w:bCs/>
          <w:color w:val="000000" w:themeColor="text1"/>
          <w:sz w:val="24"/>
          <w:szCs w:val="24"/>
        </w:rPr>
        <w:t>Violence and Police Harassment</w:t>
      </w:r>
    </w:p>
    <w:p w14:paraId="7C4F03A9" w14:textId="77777777" w:rsidR="00FA35A8" w:rsidRPr="00913B4A" w:rsidRDefault="00FA35A8" w:rsidP="00913B4A">
      <w:pPr>
        <w:pStyle w:val="FirstParagraph"/>
        <w:jc w:val="both"/>
        <w:rPr>
          <w:rFonts w:ascii="Times New Roman" w:hAnsi="Times New Roman" w:cs="Times New Roman"/>
          <w:color w:val="000000" w:themeColor="text1"/>
        </w:rPr>
      </w:pPr>
      <w:r w:rsidRPr="00913B4A">
        <w:rPr>
          <w:rFonts w:ascii="Times New Roman" w:hAnsi="Times New Roman" w:cs="Times New Roman"/>
          <w:color w:val="000000" w:themeColor="text1"/>
        </w:rPr>
        <w:t>Despite constitutional guarantees and progressive judicial pronouncements, sex workers in India continue to experience pervasive violence and harassment that undermine their fundamental rights. Research conducted across major Indian cities documents alarming rates of violence against sex workers, with studies indicating that 70-80% have experienced physical violence and 60-70% have faced sexual violence, often at the hands of clients, police, or local power brokers.</w:t>
      </w:r>
      <w:r w:rsidRPr="00913B4A">
        <w:rPr>
          <w:rStyle w:val="FootnoteReference"/>
          <w:rFonts w:ascii="Times New Roman" w:hAnsi="Times New Roman" w:cs="Times New Roman"/>
          <w:color w:val="000000" w:themeColor="text1"/>
        </w:rPr>
        <w:footnoteReference w:id="19"/>
      </w:r>
      <w:r w:rsidRPr="00913B4A">
        <w:rPr>
          <w:rFonts w:ascii="Times New Roman" w:hAnsi="Times New Roman" w:cs="Times New Roman"/>
          <w:color w:val="000000" w:themeColor="text1"/>
        </w:rPr>
        <w:t xml:space="preserve"> This violence is frequently normalized and rendered invisible due to the criminalized and stigmatized nature of sex work.</w:t>
      </w:r>
    </w:p>
    <w:p w14:paraId="7E4C6D11" w14:textId="77777777" w:rsidR="00FA35A8" w:rsidRPr="00913B4A" w:rsidRDefault="00FA35A8" w:rsidP="00913B4A">
      <w:pPr>
        <w:pStyle w:val="BodyText"/>
        <w:jc w:val="both"/>
        <w:rPr>
          <w:rFonts w:ascii="Times New Roman" w:hAnsi="Times New Roman" w:cs="Times New Roman"/>
          <w:color w:val="000000" w:themeColor="text1"/>
        </w:rPr>
      </w:pPr>
      <w:r w:rsidRPr="00913B4A">
        <w:rPr>
          <w:rFonts w:ascii="Times New Roman" w:hAnsi="Times New Roman" w:cs="Times New Roman"/>
          <w:color w:val="000000" w:themeColor="text1"/>
        </w:rPr>
        <w:t>Police harassment constitutes one of the most consistent rights violations experienced by sex workers. Field studies conducted in Mumbai, Kolkata, and Delhi reveal patterns of arbitrary detention, extortion, physical abuse, and sexual violence perpetrated by law enforcement personnel ostensibly enforcing anti-trafficking and public nuisance regulations.</w:t>
      </w:r>
      <w:r w:rsidRPr="00913B4A">
        <w:rPr>
          <w:rStyle w:val="FootnoteReference"/>
          <w:rFonts w:ascii="Times New Roman" w:hAnsi="Times New Roman" w:cs="Times New Roman"/>
          <w:color w:val="000000" w:themeColor="text1"/>
        </w:rPr>
        <w:footnoteReference w:id="20"/>
      </w:r>
      <w:r w:rsidRPr="00913B4A">
        <w:rPr>
          <w:rFonts w:ascii="Times New Roman" w:hAnsi="Times New Roman" w:cs="Times New Roman"/>
          <w:color w:val="000000" w:themeColor="text1"/>
        </w:rPr>
        <w:t xml:space="preserve"> The legal ambiguity surrounding sex work facilitates these abuses, with police often exploiting the criminalization of soliciting under Section 8 of the ITPA to extort payments or sexual favors in exchange for avoiding arrest.</w:t>
      </w:r>
    </w:p>
    <w:p w14:paraId="55011CFC" w14:textId="77777777" w:rsidR="00FA35A8" w:rsidRPr="00913B4A" w:rsidRDefault="00FA35A8" w:rsidP="00913B4A">
      <w:pPr>
        <w:pStyle w:val="BodyText"/>
        <w:jc w:val="both"/>
        <w:rPr>
          <w:rFonts w:ascii="Times New Roman" w:hAnsi="Times New Roman" w:cs="Times New Roman"/>
          <w:color w:val="000000" w:themeColor="text1"/>
        </w:rPr>
      </w:pPr>
      <w:r w:rsidRPr="00913B4A">
        <w:rPr>
          <w:rFonts w:ascii="Times New Roman" w:hAnsi="Times New Roman" w:cs="Times New Roman"/>
          <w:color w:val="000000" w:themeColor="text1"/>
        </w:rPr>
        <w:t>A particularly concerning aspect of police harassment is the practice of “raid and rescue” operations conducted under Section 15 of the ITPA, which authorizes police to enter premises suspected of being used for prostitution and remove persons found within. Research by sex worker organizations documents how these operations frequently violate due process protections, with adult consensual sex workers detained against their will and placed in “protective homes” without court orders or proper legal procedures.</w:t>
      </w:r>
      <w:r w:rsidRPr="00913B4A">
        <w:rPr>
          <w:rStyle w:val="FootnoteReference"/>
          <w:rFonts w:ascii="Times New Roman" w:hAnsi="Times New Roman" w:cs="Times New Roman"/>
          <w:color w:val="000000" w:themeColor="text1"/>
        </w:rPr>
        <w:footnoteReference w:id="21"/>
      </w:r>
      <w:r w:rsidRPr="00913B4A">
        <w:rPr>
          <w:rFonts w:ascii="Times New Roman" w:hAnsi="Times New Roman" w:cs="Times New Roman"/>
          <w:color w:val="000000" w:themeColor="text1"/>
        </w:rPr>
        <w:t xml:space="preserve"> The documentation of </w:t>
      </w:r>
      <w:r w:rsidRPr="00913B4A">
        <w:rPr>
          <w:rFonts w:ascii="Times New Roman" w:hAnsi="Times New Roman" w:cs="Times New Roman"/>
          <w:color w:val="000000" w:themeColor="text1"/>
        </w:rPr>
        <w:lastRenderedPageBreak/>
        <w:t>numerous cases where sex workers have been “rescued” despite explicit statements that they were working voluntarily underscores the denial of agency that characterizes law enforcement approaches.</w:t>
      </w:r>
    </w:p>
    <w:p w14:paraId="26C1DA79" w14:textId="77777777" w:rsidR="00FA35A8" w:rsidRPr="00913B4A" w:rsidRDefault="00FA35A8" w:rsidP="00913B4A">
      <w:pPr>
        <w:pStyle w:val="BodyText"/>
        <w:jc w:val="both"/>
        <w:rPr>
          <w:rFonts w:ascii="Times New Roman" w:hAnsi="Times New Roman" w:cs="Times New Roman"/>
          <w:color w:val="000000" w:themeColor="text1"/>
        </w:rPr>
      </w:pPr>
      <w:r w:rsidRPr="00913B4A">
        <w:rPr>
          <w:rFonts w:ascii="Times New Roman" w:hAnsi="Times New Roman" w:cs="Times New Roman"/>
          <w:color w:val="000000" w:themeColor="text1"/>
        </w:rPr>
        <w:t>Court records from various High Courts reveal repeated instances of procedural violations in the implementation of the ITPA, including failure to produce detained sex workers before magistrates within the mandated timeframe, absence of female police officers during arrests as required by law, and failure to inform detainees of the grounds for their arrest.</w:t>
      </w:r>
      <w:r w:rsidRPr="00913B4A">
        <w:rPr>
          <w:rStyle w:val="FootnoteReference"/>
          <w:rFonts w:ascii="Times New Roman" w:hAnsi="Times New Roman" w:cs="Times New Roman"/>
          <w:color w:val="000000" w:themeColor="text1"/>
        </w:rPr>
        <w:footnoteReference w:id="22"/>
      </w:r>
      <w:r w:rsidRPr="00913B4A">
        <w:rPr>
          <w:rFonts w:ascii="Times New Roman" w:hAnsi="Times New Roman" w:cs="Times New Roman"/>
          <w:color w:val="000000" w:themeColor="text1"/>
        </w:rPr>
        <w:t xml:space="preserve"> These systematic procedural violations compound the substantive rights infringements and reflect the institutional disregard for sex workers’ legal and constitutional protections.</w:t>
      </w:r>
    </w:p>
    <w:p w14:paraId="75E70F26" w14:textId="77777777" w:rsidR="00FA35A8" w:rsidRPr="00913B4A" w:rsidRDefault="00FA35A8" w:rsidP="00913B4A">
      <w:pPr>
        <w:pStyle w:val="Heading3"/>
        <w:numPr>
          <w:ilvl w:val="0"/>
          <w:numId w:val="6"/>
        </w:numPr>
        <w:jc w:val="both"/>
        <w:rPr>
          <w:rFonts w:ascii="Times New Roman" w:hAnsi="Times New Roman" w:cs="Times New Roman"/>
          <w:b/>
          <w:bCs/>
          <w:color w:val="000000" w:themeColor="text1"/>
          <w:sz w:val="24"/>
          <w:szCs w:val="24"/>
        </w:rPr>
      </w:pPr>
      <w:bookmarkStart w:id="4" w:name="healthcare-access-and-discrimination"/>
      <w:bookmarkEnd w:id="3"/>
      <w:r w:rsidRPr="00913B4A">
        <w:rPr>
          <w:rFonts w:ascii="Times New Roman" w:hAnsi="Times New Roman" w:cs="Times New Roman"/>
          <w:b/>
          <w:bCs/>
          <w:color w:val="000000" w:themeColor="text1"/>
          <w:sz w:val="24"/>
          <w:szCs w:val="24"/>
        </w:rPr>
        <w:t>Healthcare Access and Discrimination</w:t>
      </w:r>
    </w:p>
    <w:p w14:paraId="3C3D11AD" w14:textId="77777777" w:rsidR="00FA35A8" w:rsidRPr="00913B4A" w:rsidRDefault="00FA35A8" w:rsidP="00913B4A">
      <w:pPr>
        <w:pStyle w:val="FirstParagraph"/>
        <w:jc w:val="both"/>
        <w:rPr>
          <w:rFonts w:ascii="Times New Roman" w:hAnsi="Times New Roman" w:cs="Times New Roman"/>
          <w:color w:val="000000" w:themeColor="text1"/>
        </w:rPr>
      </w:pPr>
      <w:r w:rsidRPr="00913B4A">
        <w:rPr>
          <w:rFonts w:ascii="Times New Roman" w:hAnsi="Times New Roman" w:cs="Times New Roman"/>
          <w:color w:val="000000" w:themeColor="text1"/>
        </w:rPr>
        <w:t>Access to healthcare represents another critical domain where sex workers experience systematic discrimination and rights violations. Despite their heightened vulnerability to HIV and other sexually transmitted infections, sex workers face substantial barriers to accessing preventive, diagnostic, and treatment services. Research conducted by the National AIDS Control Organization indicates that stigma and discrimination in healthcare settings significantly reduce sex workers’ willingness to seek services, with substantial percentages reporting discriminatory treatment, breaches of confidentiality, and outright denial of services.</w:t>
      </w:r>
      <w:r w:rsidRPr="00913B4A">
        <w:rPr>
          <w:rStyle w:val="FootnoteReference"/>
          <w:rFonts w:ascii="Times New Roman" w:hAnsi="Times New Roman" w:cs="Times New Roman"/>
          <w:color w:val="000000" w:themeColor="text1"/>
        </w:rPr>
        <w:footnoteReference w:id="23"/>
      </w:r>
    </w:p>
    <w:p w14:paraId="0DDBF0D8" w14:textId="77777777" w:rsidR="00FA35A8" w:rsidRPr="00913B4A" w:rsidRDefault="00FA35A8" w:rsidP="00913B4A">
      <w:pPr>
        <w:pStyle w:val="BodyText"/>
        <w:jc w:val="both"/>
        <w:rPr>
          <w:rFonts w:ascii="Times New Roman" w:hAnsi="Times New Roman" w:cs="Times New Roman"/>
          <w:color w:val="000000" w:themeColor="text1"/>
        </w:rPr>
      </w:pPr>
      <w:r w:rsidRPr="00913B4A">
        <w:rPr>
          <w:rFonts w:ascii="Times New Roman" w:hAnsi="Times New Roman" w:cs="Times New Roman"/>
          <w:color w:val="000000" w:themeColor="text1"/>
        </w:rPr>
        <w:t>Healthcare barriers for sex workers manifest in multiple forms, including explicit refusal of treatment, provision of inferior care, verbal abuse and humiliation, breaches of confidentiality regarding HIV status or occupation, and excessive or unnecessary precautions that signal stigmatization.</w:t>
      </w:r>
      <w:r w:rsidRPr="00913B4A">
        <w:rPr>
          <w:rStyle w:val="FootnoteReference"/>
          <w:rFonts w:ascii="Times New Roman" w:hAnsi="Times New Roman" w:cs="Times New Roman"/>
          <w:color w:val="000000" w:themeColor="text1"/>
        </w:rPr>
        <w:footnoteReference w:id="24"/>
      </w:r>
      <w:r w:rsidRPr="00913B4A">
        <w:rPr>
          <w:rFonts w:ascii="Times New Roman" w:hAnsi="Times New Roman" w:cs="Times New Roman"/>
          <w:color w:val="000000" w:themeColor="text1"/>
        </w:rPr>
        <w:t xml:space="preserve"> These practices violate sex workers’ constitutional right to health as established under Article 21 and contravene India’s commitments under the International Covenant on Economic, Social and Cultural Rights, which recognizes “the right of everyone to the enjoyment of the highest attainable standard of physical and mental health.”</w:t>
      </w:r>
      <w:r w:rsidRPr="00913B4A">
        <w:rPr>
          <w:rStyle w:val="FootnoteReference"/>
          <w:rFonts w:ascii="Times New Roman" w:hAnsi="Times New Roman" w:cs="Times New Roman"/>
          <w:color w:val="000000" w:themeColor="text1"/>
        </w:rPr>
        <w:footnoteReference w:id="25"/>
      </w:r>
    </w:p>
    <w:p w14:paraId="143B3570" w14:textId="77777777" w:rsidR="00913B4A" w:rsidRDefault="00FA35A8" w:rsidP="00913B4A">
      <w:pPr>
        <w:pStyle w:val="BodyText"/>
        <w:jc w:val="both"/>
        <w:rPr>
          <w:rFonts w:ascii="Times New Roman" w:hAnsi="Times New Roman" w:cs="Times New Roman"/>
          <w:color w:val="000000" w:themeColor="text1"/>
        </w:rPr>
      </w:pPr>
      <w:r w:rsidRPr="00913B4A">
        <w:rPr>
          <w:rFonts w:ascii="Times New Roman" w:hAnsi="Times New Roman" w:cs="Times New Roman"/>
          <w:color w:val="000000" w:themeColor="text1"/>
        </w:rPr>
        <w:t>The healthcare rights of sex workers intersect with broader public health concerns, particularly regarding HIV prevention and treatment. While India’s National AIDS Control Organization has acknowledged sex workers as a key population requiring targeted interventions, the criminalization of soliciting and brothel-keeping undermines these public health initiatives by driving sex work underground and discouraging engagement with formal healthcare systems.</w:t>
      </w:r>
      <w:r w:rsidRPr="00913B4A">
        <w:rPr>
          <w:rStyle w:val="FootnoteReference"/>
          <w:rFonts w:ascii="Times New Roman" w:hAnsi="Times New Roman" w:cs="Times New Roman"/>
          <w:color w:val="000000" w:themeColor="text1"/>
        </w:rPr>
        <w:footnoteReference w:id="26"/>
      </w:r>
      <w:r w:rsidRPr="00913B4A">
        <w:rPr>
          <w:rFonts w:ascii="Times New Roman" w:hAnsi="Times New Roman" w:cs="Times New Roman"/>
          <w:color w:val="000000" w:themeColor="text1"/>
        </w:rPr>
        <w:t xml:space="preserve"> This contradiction between public health objectives and criminal legal approaches has been noted by courts in several cases, including </w:t>
      </w:r>
      <w:r w:rsidRPr="00913B4A">
        <w:rPr>
          <w:rFonts w:ascii="Times New Roman" w:hAnsi="Times New Roman" w:cs="Times New Roman"/>
          <w:i/>
          <w:iCs/>
          <w:color w:val="000000" w:themeColor="text1"/>
        </w:rPr>
        <w:t>Lucy F. v. State of Kerala</w:t>
      </w:r>
      <w:r w:rsidRPr="00913B4A">
        <w:rPr>
          <w:rFonts w:ascii="Times New Roman" w:hAnsi="Times New Roman" w:cs="Times New Roman"/>
          <w:color w:val="000000" w:themeColor="text1"/>
        </w:rPr>
        <w:t>, where the Kerala High Court observed that criminalization impedes rather than advances public health goals related to HIV prevention.</w:t>
      </w:r>
      <w:r w:rsidRPr="00913B4A">
        <w:rPr>
          <w:rStyle w:val="FootnoteReference"/>
          <w:rFonts w:ascii="Times New Roman" w:hAnsi="Times New Roman" w:cs="Times New Roman"/>
          <w:color w:val="000000" w:themeColor="text1"/>
        </w:rPr>
        <w:footnoteReference w:id="27"/>
      </w:r>
    </w:p>
    <w:p w14:paraId="7C4C1A36" w14:textId="53984927" w:rsidR="00FA35A8" w:rsidRPr="00913B4A" w:rsidRDefault="00FA35A8" w:rsidP="00913B4A">
      <w:pPr>
        <w:pStyle w:val="BodyText"/>
        <w:jc w:val="both"/>
        <w:rPr>
          <w:rFonts w:ascii="Times New Roman" w:hAnsi="Times New Roman" w:cs="Times New Roman"/>
          <w:color w:val="000000" w:themeColor="text1"/>
        </w:rPr>
      </w:pPr>
      <w:r w:rsidRPr="00913B4A">
        <w:rPr>
          <w:rFonts w:ascii="Times New Roman" w:hAnsi="Times New Roman" w:cs="Times New Roman"/>
          <w:color w:val="000000" w:themeColor="text1"/>
        </w:rPr>
        <w:lastRenderedPageBreak/>
        <w:t>Reproductive healthcare presents particular challenges, with studies documenting high rates of unintended pregnancy, unsafe abortion, and maternal mortality among sex workers.</w:t>
      </w:r>
      <w:r w:rsidRPr="00913B4A">
        <w:rPr>
          <w:rStyle w:val="FootnoteReference"/>
          <w:rFonts w:ascii="Times New Roman" w:hAnsi="Times New Roman" w:cs="Times New Roman"/>
          <w:color w:val="000000" w:themeColor="text1"/>
        </w:rPr>
        <w:footnoteReference w:id="28"/>
      </w:r>
      <w:r w:rsidRPr="00913B4A">
        <w:rPr>
          <w:rFonts w:ascii="Times New Roman" w:hAnsi="Times New Roman" w:cs="Times New Roman"/>
          <w:color w:val="000000" w:themeColor="text1"/>
        </w:rPr>
        <w:t xml:space="preserve"> Discrimination in maternal healthcare facilities, including segregation, verbal abuse, and neglect, discourage sex workers from seeking prenatal and postnatal care, endangering both maternal and child health. The intersectionality of discrimination is particularly evident for transgender sex workers, who face additional barriers related to their gender identity when accessing healthcare services.</w:t>
      </w:r>
    </w:p>
    <w:p w14:paraId="0E969656" w14:textId="77777777" w:rsidR="00FA35A8" w:rsidRPr="00913B4A" w:rsidRDefault="00FA35A8" w:rsidP="00913B4A">
      <w:pPr>
        <w:pStyle w:val="Heading3"/>
        <w:numPr>
          <w:ilvl w:val="0"/>
          <w:numId w:val="6"/>
        </w:numPr>
        <w:jc w:val="both"/>
        <w:rPr>
          <w:rFonts w:ascii="Times New Roman" w:hAnsi="Times New Roman" w:cs="Times New Roman"/>
          <w:b/>
          <w:bCs/>
          <w:color w:val="000000" w:themeColor="text1"/>
          <w:sz w:val="24"/>
          <w:szCs w:val="24"/>
        </w:rPr>
      </w:pPr>
      <w:bookmarkStart w:id="5" w:name="housing-and-economic-rights"/>
      <w:bookmarkEnd w:id="4"/>
      <w:r w:rsidRPr="00913B4A">
        <w:rPr>
          <w:rFonts w:ascii="Times New Roman" w:hAnsi="Times New Roman" w:cs="Times New Roman"/>
          <w:b/>
          <w:bCs/>
          <w:color w:val="000000" w:themeColor="text1"/>
          <w:sz w:val="24"/>
          <w:szCs w:val="24"/>
        </w:rPr>
        <w:t>Housing and Economic Rights</w:t>
      </w:r>
    </w:p>
    <w:p w14:paraId="42121983" w14:textId="77777777" w:rsidR="00FA35A8" w:rsidRPr="00913B4A" w:rsidRDefault="00FA35A8" w:rsidP="00913B4A">
      <w:pPr>
        <w:pStyle w:val="FirstParagraph"/>
        <w:jc w:val="both"/>
        <w:rPr>
          <w:rFonts w:ascii="Times New Roman" w:hAnsi="Times New Roman" w:cs="Times New Roman"/>
          <w:color w:val="000000" w:themeColor="text1"/>
        </w:rPr>
      </w:pPr>
      <w:r w:rsidRPr="00913B4A">
        <w:rPr>
          <w:rFonts w:ascii="Times New Roman" w:hAnsi="Times New Roman" w:cs="Times New Roman"/>
          <w:color w:val="000000" w:themeColor="text1"/>
        </w:rPr>
        <w:t>Housing discrimination represents a profound challenge for sex workers, who frequently face eviction, denial of rental accommodation, and exploitation by landlords who charge exorbitant rents knowing that sex workers have limited alternative options.</w:t>
      </w:r>
      <w:r w:rsidRPr="00913B4A">
        <w:rPr>
          <w:rStyle w:val="FootnoteReference"/>
          <w:rFonts w:ascii="Times New Roman" w:hAnsi="Times New Roman" w:cs="Times New Roman"/>
          <w:color w:val="000000" w:themeColor="text1"/>
        </w:rPr>
        <w:footnoteReference w:id="29"/>
      </w:r>
      <w:r w:rsidRPr="00913B4A">
        <w:rPr>
          <w:rFonts w:ascii="Times New Roman" w:hAnsi="Times New Roman" w:cs="Times New Roman"/>
          <w:color w:val="000000" w:themeColor="text1"/>
        </w:rPr>
        <w:t xml:space="preserve"> Section 3 of the ITPA, which criminalizes the maintenance of brothels, indirectly facilitates housing discrimination by creating legal risks for landlords who rent to known sex workers. These housing barriers violate the right to shelter as a component of the right to life under Article 21, as established in </w:t>
      </w:r>
      <w:r w:rsidRPr="00913B4A">
        <w:rPr>
          <w:rFonts w:ascii="Times New Roman" w:hAnsi="Times New Roman" w:cs="Times New Roman"/>
          <w:i/>
          <w:iCs/>
          <w:color w:val="000000" w:themeColor="text1"/>
        </w:rPr>
        <w:t>Chameli Singh v. State of Uttar Pradesh</w:t>
      </w:r>
      <w:r w:rsidRPr="00913B4A">
        <w:rPr>
          <w:rFonts w:ascii="Times New Roman" w:hAnsi="Times New Roman" w:cs="Times New Roman"/>
          <w:color w:val="000000" w:themeColor="text1"/>
        </w:rPr>
        <w:t>.</w:t>
      </w:r>
      <w:r w:rsidRPr="00913B4A">
        <w:rPr>
          <w:rStyle w:val="FootnoteReference"/>
          <w:rFonts w:ascii="Times New Roman" w:hAnsi="Times New Roman" w:cs="Times New Roman"/>
          <w:color w:val="000000" w:themeColor="text1"/>
        </w:rPr>
        <w:footnoteReference w:id="30"/>
      </w:r>
    </w:p>
    <w:p w14:paraId="4B69A03D" w14:textId="77777777" w:rsidR="00FA35A8" w:rsidRPr="00913B4A" w:rsidRDefault="00FA35A8" w:rsidP="00913B4A">
      <w:pPr>
        <w:pStyle w:val="BodyText"/>
        <w:jc w:val="both"/>
        <w:rPr>
          <w:rFonts w:ascii="Times New Roman" w:hAnsi="Times New Roman" w:cs="Times New Roman"/>
          <w:color w:val="000000" w:themeColor="text1"/>
        </w:rPr>
      </w:pPr>
      <w:r w:rsidRPr="00913B4A">
        <w:rPr>
          <w:rFonts w:ascii="Times New Roman" w:hAnsi="Times New Roman" w:cs="Times New Roman"/>
          <w:color w:val="000000" w:themeColor="text1"/>
        </w:rPr>
        <w:t>Economic rights violations extend beyond housing to include denial of banking services, exclusion from social welfare schemes, and exploitation through predatory lending practices that target sex workers’ financial vulnerability.</w:t>
      </w:r>
      <w:r w:rsidRPr="00913B4A">
        <w:rPr>
          <w:rStyle w:val="FootnoteReference"/>
          <w:rFonts w:ascii="Times New Roman" w:hAnsi="Times New Roman" w:cs="Times New Roman"/>
          <w:color w:val="000000" w:themeColor="text1"/>
        </w:rPr>
        <w:footnoteReference w:id="31"/>
      </w:r>
      <w:r w:rsidRPr="00913B4A">
        <w:rPr>
          <w:rFonts w:ascii="Times New Roman" w:hAnsi="Times New Roman" w:cs="Times New Roman"/>
          <w:color w:val="000000" w:themeColor="text1"/>
        </w:rPr>
        <w:t xml:space="preserve"> Documentation by sex worker organizations reveals systematic exclusion from government poverty alleviation programs, ration card systems, and microfinance initiatives due to requirements for proof of residence, “respectable” occupational documentation, or character certificates from local officials.</w:t>
      </w:r>
      <w:r w:rsidRPr="00913B4A">
        <w:rPr>
          <w:rStyle w:val="FootnoteReference"/>
          <w:rFonts w:ascii="Times New Roman" w:hAnsi="Times New Roman" w:cs="Times New Roman"/>
          <w:color w:val="000000" w:themeColor="text1"/>
        </w:rPr>
        <w:footnoteReference w:id="32"/>
      </w:r>
      <w:r w:rsidRPr="00913B4A">
        <w:rPr>
          <w:rFonts w:ascii="Times New Roman" w:hAnsi="Times New Roman" w:cs="Times New Roman"/>
          <w:color w:val="000000" w:themeColor="text1"/>
        </w:rPr>
        <w:t xml:space="preserve"> These exclusionary practices compound economic marginalization and perpetuate dependency on exploitative intermediaries.</w:t>
      </w:r>
    </w:p>
    <w:p w14:paraId="2E352259" w14:textId="77777777" w:rsidR="00FA35A8" w:rsidRPr="00913B4A" w:rsidRDefault="00FA35A8" w:rsidP="00913B4A">
      <w:pPr>
        <w:pStyle w:val="BodyText"/>
        <w:jc w:val="both"/>
        <w:rPr>
          <w:rFonts w:ascii="Times New Roman" w:hAnsi="Times New Roman" w:cs="Times New Roman"/>
          <w:color w:val="000000" w:themeColor="text1"/>
        </w:rPr>
      </w:pPr>
      <w:r w:rsidRPr="00913B4A">
        <w:rPr>
          <w:rFonts w:ascii="Times New Roman" w:hAnsi="Times New Roman" w:cs="Times New Roman"/>
          <w:color w:val="000000" w:themeColor="text1"/>
        </w:rPr>
        <w:t>The intergenerational transmission of stigma affects the educational opportunities of sex workers’ children, who frequently face discrimination in school admissions, bullying by peers, and prejudicial treatment by teachers when their mother’s occupation becomes known.</w:t>
      </w:r>
      <w:r w:rsidRPr="00913B4A">
        <w:rPr>
          <w:rStyle w:val="FootnoteReference"/>
          <w:rFonts w:ascii="Times New Roman" w:hAnsi="Times New Roman" w:cs="Times New Roman"/>
          <w:color w:val="000000" w:themeColor="text1"/>
        </w:rPr>
        <w:footnoteReference w:id="33"/>
      </w:r>
      <w:r w:rsidRPr="00913B4A">
        <w:rPr>
          <w:rFonts w:ascii="Times New Roman" w:hAnsi="Times New Roman" w:cs="Times New Roman"/>
          <w:color w:val="000000" w:themeColor="text1"/>
        </w:rPr>
        <w:t xml:space="preserve"> This educational discrimination violates children’s right to education under Article 21A and contravenes the principle of non-discrimination established in the Right of Children to Free and Compulsory Education Act, 2009.</w:t>
      </w:r>
      <w:r w:rsidRPr="00913B4A">
        <w:rPr>
          <w:rStyle w:val="FootnoteReference"/>
          <w:rFonts w:ascii="Times New Roman" w:hAnsi="Times New Roman" w:cs="Times New Roman"/>
          <w:color w:val="000000" w:themeColor="text1"/>
        </w:rPr>
        <w:footnoteReference w:id="34"/>
      </w:r>
    </w:p>
    <w:p w14:paraId="4773702C" w14:textId="77777777" w:rsidR="00FA35A8" w:rsidRPr="00913B4A" w:rsidRDefault="00FA35A8" w:rsidP="00913B4A">
      <w:pPr>
        <w:pStyle w:val="BodyText"/>
        <w:jc w:val="both"/>
        <w:rPr>
          <w:rFonts w:ascii="Times New Roman" w:hAnsi="Times New Roman" w:cs="Times New Roman"/>
          <w:color w:val="000000" w:themeColor="text1"/>
        </w:rPr>
      </w:pPr>
      <w:r w:rsidRPr="00913B4A">
        <w:rPr>
          <w:rFonts w:ascii="Times New Roman" w:hAnsi="Times New Roman" w:cs="Times New Roman"/>
          <w:color w:val="000000" w:themeColor="text1"/>
        </w:rPr>
        <w:t>The COVID-19 pandemic has sharply highlighted the consequences of economic exclusion, with sex workers experiencing severe income loss during lockdowns while being systematically excluded from emergency relief measures due to lack of documentation, digital access barriers, and explicit exclusion from relief categories.</w:t>
      </w:r>
      <w:r w:rsidRPr="00913B4A">
        <w:rPr>
          <w:rStyle w:val="FootnoteReference"/>
          <w:rFonts w:ascii="Times New Roman" w:hAnsi="Times New Roman" w:cs="Times New Roman"/>
          <w:color w:val="000000" w:themeColor="text1"/>
        </w:rPr>
        <w:footnoteReference w:id="35"/>
      </w:r>
      <w:r w:rsidRPr="00913B4A">
        <w:rPr>
          <w:rFonts w:ascii="Times New Roman" w:hAnsi="Times New Roman" w:cs="Times New Roman"/>
          <w:color w:val="000000" w:themeColor="text1"/>
        </w:rPr>
        <w:t xml:space="preserve"> This exclusion from </w:t>
      </w:r>
      <w:r w:rsidRPr="00913B4A">
        <w:rPr>
          <w:rFonts w:ascii="Times New Roman" w:hAnsi="Times New Roman" w:cs="Times New Roman"/>
          <w:color w:val="000000" w:themeColor="text1"/>
        </w:rPr>
        <w:lastRenderedPageBreak/>
        <w:t>crisis support systems despite explicit Supreme Court directives for the inclusion of vulnerable populations reveals the persistent gap between formal rights recognition and practical implementation.</w:t>
      </w:r>
    </w:p>
    <w:p w14:paraId="61FC9802" w14:textId="77777777" w:rsidR="00913B4A" w:rsidRPr="00913B4A" w:rsidRDefault="00913B4A" w:rsidP="00913B4A">
      <w:pPr>
        <w:pStyle w:val="BodyText"/>
        <w:jc w:val="both"/>
        <w:rPr>
          <w:rFonts w:ascii="Times New Roman" w:hAnsi="Times New Roman" w:cs="Times New Roman"/>
          <w:color w:val="000000" w:themeColor="text1"/>
        </w:rPr>
      </w:pPr>
    </w:p>
    <w:p w14:paraId="32A31889" w14:textId="77777777" w:rsidR="00FA35A8" w:rsidRPr="00913B4A" w:rsidRDefault="00FA35A8" w:rsidP="00913B4A">
      <w:pPr>
        <w:pStyle w:val="Heading2"/>
        <w:jc w:val="both"/>
        <w:rPr>
          <w:rFonts w:ascii="Times New Roman" w:hAnsi="Times New Roman" w:cs="Times New Roman"/>
          <w:b/>
          <w:bCs/>
          <w:color w:val="000000" w:themeColor="text1"/>
          <w:sz w:val="24"/>
          <w:szCs w:val="24"/>
        </w:rPr>
      </w:pPr>
      <w:bookmarkStart w:id="6" w:name="X2fd1d4cc8e4dfde29580d8ec92b8065aade690d"/>
      <w:bookmarkEnd w:id="5"/>
      <w:r w:rsidRPr="00913B4A">
        <w:rPr>
          <w:rFonts w:ascii="Times New Roman" w:hAnsi="Times New Roman" w:cs="Times New Roman"/>
          <w:b/>
          <w:bCs/>
          <w:color w:val="000000" w:themeColor="text1"/>
          <w:sz w:val="24"/>
          <w:szCs w:val="24"/>
        </w:rPr>
        <w:t>V. Community Mobilization and Advocacy Initiatives</w:t>
      </w:r>
    </w:p>
    <w:p w14:paraId="35F0FD5D" w14:textId="77777777" w:rsidR="00FA35A8" w:rsidRPr="00913B4A" w:rsidRDefault="00FA35A8" w:rsidP="00913B4A">
      <w:pPr>
        <w:pStyle w:val="Heading3"/>
        <w:numPr>
          <w:ilvl w:val="0"/>
          <w:numId w:val="6"/>
        </w:numPr>
        <w:jc w:val="both"/>
        <w:rPr>
          <w:rFonts w:ascii="Times New Roman" w:hAnsi="Times New Roman" w:cs="Times New Roman"/>
          <w:b/>
          <w:bCs/>
          <w:color w:val="000000" w:themeColor="text1"/>
          <w:sz w:val="24"/>
          <w:szCs w:val="24"/>
        </w:rPr>
      </w:pPr>
      <w:bookmarkStart w:id="7" w:name="X7cdcd1d0270e25226200e43f258034c1beaabd4"/>
      <w:r w:rsidRPr="00913B4A">
        <w:rPr>
          <w:rFonts w:ascii="Times New Roman" w:hAnsi="Times New Roman" w:cs="Times New Roman"/>
          <w:b/>
          <w:bCs/>
          <w:color w:val="000000" w:themeColor="text1"/>
          <w:sz w:val="24"/>
          <w:szCs w:val="24"/>
        </w:rPr>
        <w:t>Sex Worker Collectives and Self-Regulatory Boards</w:t>
      </w:r>
    </w:p>
    <w:p w14:paraId="79349819" w14:textId="77777777" w:rsidR="00FA35A8" w:rsidRPr="00913B4A" w:rsidRDefault="00FA35A8" w:rsidP="00913B4A">
      <w:pPr>
        <w:pStyle w:val="FirstParagraph"/>
        <w:jc w:val="both"/>
        <w:rPr>
          <w:rFonts w:ascii="Times New Roman" w:hAnsi="Times New Roman" w:cs="Times New Roman"/>
          <w:color w:val="000000" w:themeColor="text1"/>
        </w:rPr>
      </w:pPr>
      <w:r w:rsidRPr="00913B4A">
        <w:rPr>
          <w:rFonts w:ascii="Times New Roman" w:hAnsi="Times New Roman" w:cs="Times New Roman"/>
          <w:color w:val="000000" w:themeColor="text1"/>
        </w:rPr>
        <w:t xml:space="preserve">A significant development in the landscape of sex workers’ rights in India has been the emergence of community-led collectives that challenge dominant narratives of victimhood through assertive rights claims and collective organizing. Organizations such as the Durbar Mahila </w:t>
      </w:r>
      <w:proofErr w:type="spellStart"/>
      <w:r w:rsidRPr="00913B4A">
        <w:rPr>
          <w:rFonts w:ascii="Times New Roman" w:hAnsi="Times New Roman" w:cs="Times New Roman"/>
          <w:color w:val="000000" w:themeColor="text1"/>
        </w:rPr>
        <w:t>Samanwaya</w:t>
      </w:r>
      <w:proofErr w:type="spellEnd"/>
      <w:r w:rsidRPr="00913B4A">
        <w:rPr>
          <w:rFonts w:ascii="Times New Roman" w:hAnsi="Times New Roman" w:cs="Times New Roman"/>
          <w:color w:val="000000" w:themeColor="text1"/>
        </w:rPr>
        <w:t xml:space="preserve"> Committee (DMSC) in Kolkata, </w:t>
      </w:r>
      <w:proofErr w:type="spellStart"/>
      <w:r w:rsidRPr="00913B4A">
        <w:rPr>
          <w:rFonts w:ascii="Times New Roman" w:hAnsi="Times New Roman" w:cs="Times New Roman"/>
          <w:color w:val="000000" w:themeColor="text1"/>
        </w:rPr>
        <w:t>Veshya</w:t>
      </w:r>
      <w:proofErr w:type="spellEnd"/>
      <w:r w:rsidRPr="00913B4A">
        <w:rPr>
          <w:rFonts w:ascii="Times New Roman" w:hAnsi="Times New Roman" w:cs="Times New Roman"/>
          <w:color w:val="000000" w:themeColor="text1"/>
        </w:rPr>
        <w:t xml:space="preserve"> </w:t>
      </w:r>
      <w:proofErr w:type="spellStart"/>
      <w:r w:rsidRPr="00913B4A">
        <w:rPr>
          <w:rFonts w:ascii="Times New Roman" w:hAnsi="Times New Roman" w:cs="Times New Roman"/>
          <w:color w:val="000000" w:themeColor="text1"/>
        </w:rPr>
        <w:t>Anyay</w:t>
      </w:r>
      <w:proofErr w:type="spellEnd"/>
      <w:r w:rsidRPr="00913B4A">
        <w:rPr>
          <w:rFonts w:ascii="Times New Roman" w:hAnsi="Times New Roman" w:cs="Times New Roman"/>
          <w:color w:val="000000" w:themeColor="text1"/>
        </w:rPr>
        <w:t xml:space="preserve"> Mukti Parishad (VAMP) in Maharashtra, and the All-India Network of Sex Workers (AINSW) have emerged as powerful advocates for recognition, rights, and representation.</w:t>
      </w:r>
      <w:r w:rsidRPr="00913B4A">
        <w:rPr>
          <w:rStyle w:val="FootnoteReference"/>
          <w:rFonts w:ascii="Times New Roman" w:hAnsi="Times New Roman" w:cs="Times New Roman"/>
          <w:color w:val="000000" w:themeColor="text1"/>
        </w:rPr>
        <w:footnoteReference w:id="36"/>
      </w:r>
      <w:r w:rsidRPr="00913B4A">
        <w:rPr>
          <w:rFonts w:ascii="Times New Roman" w:hAnsi="Times New Roman" w:cs="Times New Roman"/>
          <w:color w:val="000000" w:themeColor="text1"/>
        </w:rPr>
        <w:t xml:space="preserve"> These collectives represent a shift from externally imposed “rescue and rehabilitation” approaches to community-led interventions that center sex workers’ agency and voice.</w:t>
      </w:r>
    </w:p>
    <w:p w14:paraId="71BBE393" w14:textId="77777777" w:rsidR="00FA35A8" w:rsidRPr="00913B4A" w:rsidRDefault="00FA35A8" w:rsidP="00913B4A">
      <w:pPr>
        <w:pStyle w:val="BodyText"/>
        <w:jc w:val="both"/>
        <w:rPr>
          <w:rFonts w:ascii="Times New Roman" w:hAnsi="Times New Roman" w:cs="Times New Roman"/>
          <w:color w:val="000000" w:themeColor="text1"/>
        </w:rPr>
      </w:pPr>
      <w:r w:rsidRPr="00913B4A">
        <w:rPr>
          <w:rFonts w:ascii="Times New Roman" w:hAnsi="Times New Roman" w:cs="Times New Roman"/>
          <w:color w:val="000000" w:themeColor="text1"/>
        </w:rPr>
        <w:t>The self-regulatory board (SRB) model pioneered by DMSC represents a particularly innovative approach to addressing trafficking and exploitation while respecting the rights of adult consensual sex workers.</w:t>
      </w:r>
      <w:r w:rsidRPr="00913B4A">
        <w:rPr>
          <w:rStyle w:val="FootnoteReference"/>
          <w:rFonts w:ascii="Times New Roman" w:hAnsi="Times New Roman" w:cs="Times New Roman"/>
          <w:color w:val="000000" w:themeColor="text1"/>
        </w:rPr>
        <w:footnoteReference w:id="37"/>
      </w:r>
      <w:r w:rsidRPr="00913B4A">
        <w:rPr>
          <w:rFonts w:ascii="Times New Roman" w:hAnsi="Times New Roman" w:cs="Times New Roman"/>
          <w:color w:val="000000" w:themeColor="text1"/>
        </w:rPr>
        <w:t xml:space="preserve"> These boards, composed primarily of sex workers with support from legal experts, healthcare professionals, and local government representatives, screen new entrants to identify minors and trafficked persons while providing support services to adult women who have entered the profession voluntarily. The SRB model has been recognized by public health authorities and international organizations as an effective rights-based approach to addressing trafficking that avoids the rights violations associated with police-led interventions.</w:t>
      </w:r>
    </w:p>
    <w:p w14:paraId="50167F34" w14:textId="77777777" w:rsidR="00FA35A8" w:rsidRPr="00913B4A" w:rsidRDefault="00FA35A8" w:rsidP="00913B4A">
      <w:pPr>
        <w:pStyle w:val="BodyText"/>
        <w:jc w:val="both"/>
        <w:rPr>
          <w:rFonts w:ascii="Times New Roman" w:hAnsi="Times New Roman" w:cs="Times New Roman"/>
          <w:color w:val="000000" w:themeColor="text1"/>
        </w:rPr>
      </w:pPr>
      <w:r w:rsidRPr="00913B4A">
        <w:rPr>
          <w:rFonts w:ascii="Times New Roman" w:hAnsi="Times New Roman" w:cs="Times New Roman"/>
          <w:color w:val="000000" w:themeColor="text1"/>
        </w:rPr>
        <w:t>Evaluations of self-regulatory boards indicate their effectiveness in identifying and removing minors from sex work while providing comprehensive support services including healthcare, legal aid, and educational opportunities for sex workers and their children.</w:t>
      </w:r>
      <w:r w:rsidRPr="00913B4A">
        <w:rPr>
          <w:rStyle w:val="FootnoteReference"/>
          <w:rFonts w:ascii="Times New Roman" w:hAnsi="Times New Roman" w:cs="Times New Roman"/>
          <w:color w:val="000000" w:themeColor="text1"/>
        </w:rPr>
        <w:footnoteReference w:id="38"/>
      </w:r>
      <w:r w:rsidRPr="00913B4A">
        <w:rPr>
          <w:rFonts w:ascii="Times New Roman" w:hAnsi="Times New Roman" w:cs="Times New Roman"/>
          <w:color w:val="000000" w:themeColor="text1"/>
        </w:rPr>
        <w:t xml:space="preserve"> The success of these community-led models has challenged conventional approaches that rely on criminal law enforcement and forced rehabilitation, demonstrating the efficacy of interventions that respect sex workers’ agency while addressing genuine concerns regarding trafficking and exploitation.</w:t>
      </w:r>
    </w:p>
    <w:p w14:paraId="0A1AD106" w14:textId="77777777" w:rsidR="00FA35A8" w:rsidRPr="00913B4A" w:rsidRDefault="00FA35A8" w:rsidP="00913B4A">
      <w:pPr>
        <w:pStyle w:val="BodyText"/>
        <w:jc w:val="both"/>
        <w:rPr>
          <w:rFonts w:ascii="Times New Roman" w:hAnsi="Times New Roman" w:cs="Times New Roman"/>
          <w:color w:val="000000" w:themeColor="text1"/>
        </w:rPr>
      </w:pPr>
      <w:r w:rsidRPr="00913B4A">
        <w:rPr>
          <w:rFonts w:ascii="Times New Roman" w:hAnsi="Times New Roman" w:cs="Times New Roman"/>
          <w:color w:val="000000" w:themeColor="text1"/>
        </w:rPr>
        <w:t>The community mobilization of sex workers has extended beyond service provision to political advocacy and public education. Collectives have organized public demonstrations, media campaigns, and cultural initiatives that challenge stigma and assert sex workers’ identity as workers and citizens entitled to rights and recognition.</w:t>
      </w:r>
      <w:r w:rsidRPr="00913B4A">
        <w:rPr>
          <w:rStyle w:val="FootnoteReference"/>
          <w:rFonts w:ascii="Times New Roman" w:hAnsi="Times New Roman" w:cs="Times New Roman"/>
          <w:color w:val="000000" w:themeColor="text1"/>
        </w:rPr>
        <w:footnoteReference w:id="39"/>
      </w:r>
      <w:r w:rsidRPr="00913B4A">
        <w:rPr>
          <w:rFonts w:ascii="Times New Roman" w:hAnsi="Times New Roman" w:cs="Times New Roman"/>
          <w:color w:val="000000" w:themeColor="text1"/>
        </w:rPr>
        <w:t xml:space="preserve"> These efforts represent a significant challenge to dominant discourses that frame sex workers exclusively as victims requiring rescue rather than rights-bearing citizens capable of articulating their own interests and advocating for legal and policy reform.</w:t>
      </w:r>
    </w:p>
    <w:p w14:paraId="41D19292" w14:textId="77777777" w:rsidR="00FA35A8" w:rsidRPr="00913B4A" w:rsidRDefault="00FA35A8" w:rsidP="00913B4A">
      <w:pPr>
        <w:pStyle w:val="Heading3"/>
        <w:numPr>
          <w:ilvl w:val="0"/>
          <w:numId w:val="6"/>
        </w:numPr>
        <w:jc w:val="both"/>
        <w:rPr>
          <w:rFonts w:ascii="Times New Roman" w:hAnsi="Times New Roman" w:cs="Times New Roman"/>
          <w:b/>
          <w:bCs/>
          <w:color w:val="000000" w:themeColor="text1"/>
          <w:sz w:val="24"/>
          <w:szCs w:val="24"/>
        </w:rPr>
      </w:pPr>
      <w:bookmarkStart w:id="8" w:name="X2b72b2d9166451e12b1aff078b7b16907e4bd63"/>
      <w:bookmarkEnd w:id="7"/>
      <w:r w:rsidRPr="00913B4A">
        <w:rPr>
          <w:rFonts w:ascii="Times New Roman" w:hAnsi="Times New Roman" w:cs="Times New Roman"/>
          <w:b/>
          <w:bCs/>
          <w:color w:val="000000" w:themeColor="text1"/>
          <w:sz w:val="24"/>
          <w:szCs w:val="24"/>
        </w:rPr>
        <w:lastRenderedPageBreak/>
        <w:t>Intersectional Advocacy and Coalition Building</w:t>
      </w:r>
    </w:p>
    <w:p w14:paraId="1FF0B824" w14:textId="77777777" w:rsidR="00FA35A8" w:rsidRPr="00913B4A" w:rsidRDefault="00FA35A8" w:rsidP="00913B4A">
      <w:pPr>
        <w:pStyle w:val="FirstParagraph"/>
        <w:jc w:val="both"/>
        <w:rPr>
          <w:rFonts w:ascii="Times New Roman" w:hAnsi="Times New Roman" w:cs="Times New Roman"/>
          <w:color w:val="000000" w:themeColor="text1"/>
        </w:rPr>
      </w:pPr>
      <w:r w:rsidRPr="00913B4A">
        <w:rPr>
          <w:rFonts w:ascii="Times New Roman" w:hAnsi="Times New Roman" w:cs="Times New Roman"/>
          <w:color w:val="000000" w:themeColor="text1"/>
        </w:rPr>
        <w:t>Sex worker advocacy in India increasingly reflects an intersectional approach that recognizes the diversity of experiences and identities within sex worker communities and builds alliances with other marginalized groups. This intersectional approach acknowledges that sex workers are not a homogeneous category but include diverse individuals differentiated by gender, caste, class, religion, and sexuality, with specific subgroups facing compound discrimination based on multiple aspects of their identity.</w:t>
      </w:r>
      <w:r w:rsidRPr="00913B4A">
        <w:rPr>
          <w:rStyle w:val="FootnoteReference"/>
          <w:rFonts w:ascii="Times New Roman" w:hAnsi="Times New Roman" w:cs="Times New Roman"/>
          <w:color w:val="000000" w:themeColor="text1"/>
        </w:rPr>
        <w:footnoteReference w:id="40"/>
      </w:r>
    </w:p>
    <w:p w14:paraId="70D51365" w14:textId="77777777" w:rsidR="00FA35A8" w:rsidRPr="00913B4A" w:rsidRDefault="00FA35A8" w:rsidP="00913B4A">
      <w:pPr>
        <w:pStyle w:val="BodyText"/>
        <w:jc w:val="both"/>
        <w:rPr>
          <w:rFonts w:ascii="Times New Roman" w:hAnsi="Times New Roman" w:cs="Times New Roman"/>
          <w:color w:val="000000" w:themeColor="text1"/>
        </w:rPr>
      </w:pPr>
      <w:r w:rsidRPr="00913B4A">
        <w:rPr>
          <w:rFonts w:ascii="Times New Roman" w:hAnsi="Times New Roman" w:cs="Times New Roman"/>
          <w:color w:val="000000" w:themeColor="text1"/>
        </w:rPr>
        <w:t>Transgender sex workers have established distinct advocacy organizations such as Dai Welfare Society and Transgender Rights Association that address the specific challenges faced by hijra and other transgender individuals engaged in sex work.</w:t>
      </w:r>
      <w:r w:rsidRPr="00913B4A">
        <w:rPr>
          <w:rStyle w:val="FootnoteReference"/>
          <w:rFonts w:ascii="Times New Roman" w:hAnsi="Times New Roman" w:cs="Times New Roman"/>
          <w:color w:val="000000" w:themeColor="text1"/>
        </w:rPr>
        <w:footnoteReference w:id="41"/>
      </w:r>
      <w:r w:rsidRPr="00913B4A">
        <w:rPr>
          <w:rFonts w:ascii="Times New Roman" w:hAnsi="Times New Roman" w:cs="Times New Roman"/>
          <w:color w:val="000000" w:themeColor="text1"/>
        </w:rPr>
        <w:t xml:space="preserve"> These organizations have highlighted the intersectional discrimination faced by transgender sex workers, who experience marginalization based on both gender identity and occupation, and have advocated for specific protective measures including transgender-inclusive healthcare services and protection from police harassment.</w:t>
      </w:r>
    </w:p>
    <w:p w14:paraId="3955ED1F" w14:textId="77777777" w:rsidR="00FA35A8" w:rsidRPr="00913B4A" w:rsidRDefault="00FA35A8" w:rsidP="00913B4A">
      <w:pPr>
        <w:pStyle w:val="BodyText"/>
        <w:jc w:val="both"/>
        <w:rPr>
          <w:rFonts w:ascii="Times New Roman" w:hAnsi="Times New Roman" w:cs="Times New Roman"/>
          <w:color w:val="000000" w:themeColor="text1"/>
        </w:rPr>
      </w:pPr>
      <w:r w:rsidRPr="00913B4A">
        <w:rPr>
          <w:rFonts w:ascii="Times New Roman" w:hAnsi="Times New Roman" w:cs="Times New Roman"/>
          <w:color w:val="000000" w:themeColor="text1"/>
        </w:rPr>
        <w:t>Coalition building between sex worker organizations and other social movements has strengthened advocacy efforts and fostered mutual solidarity. Collaborations with women’s rights organizations, LGBTQ+ advocacy groups, labor unions, and human rights networks have created platforms for addressing common concerns regarding state violence, economic justice, and bodily autonomy.</w:t>
      </w:r>
      <w:r w:rsidRPr="00913B4A">
        <w:rPr>
          <w:rStyle w:val="FootnoteReference"/>
          <w:rFonts w:ascii="Times New Roman" w:hAnsi="Times New Roman" w:cs="Times New Roman"/>
          <w:color w:val="000000" w:themeColor="text1"/>
        </w:rPr>
        <w:footnoteReference w:id="42"/>
      </w:r>
      <w:r w:rsidRPr="00913B4A">
        <w:rPr>
          <w:rFonts w:ascii="Times New Roman" w:hAnsi="Times New Roman" w:cs="Times New Roman"/>
          <w:color w:val="000000" w:themeColor="text1"/>
        </w:rPr>
        <w:t xml:space="preserve"> These coalitions have been particularly effective in challenging legislation such as the Trafficking of Persons Bill that threatens the rights of sex workers under the guise of protection.</w:t>
      </w:r>
    </w:p>
    <w:p w14:paraId="3076999A" w14:textId="77777777" w:rsidR="00FA35A8" w:rsidRPr="00913B4A" w:rsidRDefault="00FA35A8" w:rsidP="00913B4A">
      <w:pPr>
        <w:pStyle w:val="BodyText"/>
        <w:jc w:val="both"/>
        <w:rPr>
          <w:rFonts w:ascii="Times New Roman" w:hAnsi="Times New Roman" w:cs="Times New Roman"/>
          <w:color w:val="000000" w:themeColor="text1"/>
        </w:rPr>
      </w:pPr>
      <w:r w:rsidRPr="00913B4A">
        <w:rPr>
          <w:rFonts w:ascii="Times New Roman" w:hAnsi="Times New Roman" w:cs="Times New Roman"/>
          <w:color w:val="000000" w:themeColor="text1"/>
        </w:rPr>
        <w:t>The integration of sex workers’ rights advocacy within broader human rights frameworks represents a strategic shift from isolated single-issue advocacy to comprehensive rights-based approaches. By framing sex workers’ concerns in terms of constitutionally protected rights to dignity, equality, livelihood, and freedom from violence, advocates have leveraged existing legal protections to advance more specific claims.</w:t>
      </w:r>
      <w:r w:rsidRPr="00913B4A">
        <w:rPr>
          <w:rStyle w:val="FootnoteReference"/>
          <w:rFonts w:ascii="Times New Roman" w:hAnsi="Times New Roman" w:cs="Times New Roman"/>
          <w:color w:val="000000" w:themeColor="text1"/>
        </w:rPr>
        <w:footnoteReference w:id="43"/>
      </w:r>
      <w:r w:rsidRPr="00913B4A">
        <w:rPr>
          <w:rFonts w:ascii="Times New Roman" w:hAnsi="Times New Roman" w:cs="Times New Roman"/>
          <w:color w:val="000000" w:themeColor="text1"/>
        </w:rPr>
        <w:t xml:space="preserve"> This rights-based approach challenges the exceptionalism that has historically characterized legal approaches to sex work, situating sex workers’ claims within established constitutional principles rather than as exceptional cases requiring special regulation.</w:t>
      </w:r>
    </w:p>
    <w:p w14:paraId="50EF6C88" w14:textId="77777777" w:rsidR="00FA35A8" w:rsidRPr="00913B4A" w:rsidRDefault="00FA35A8" w:rsidP="00913B4A">
      <w:pPr>
        <w:pStyle w:val="Heading3"/>
        <w:numPr>
          <w:ilvl w:val="0"/>
          <w:numId w:val="6"/>
        </w:numPr>
        <w:jc w:val="both"/>
        <w:rPr>
          <w:rFonts w:ascii="Times New Roman" w:hAnsi="Times New Roman" w:cs="Times New Roman"/>
          <w:b/>
          <w:bCs/>
          <w:color w:val="000000" w:themeColor="text1"/>
          <w:sz w:val="24"/>
          <w:szCs w:val="24"/>
        </w:rPr>
      </w:pPr>
      <w:bookmarkStart w:id="9" w:name="legal-advocacy-and-strategic-litigation"/>
      <w:bookmarkEnd w:id="8"/>
      <w:r w:rsidRPr="00913B4A">
        <w:rPr>
          <w:rFonts w:ascii="Times New Roman" w:hAnsi="Times New Roman" w:cs="Times New Roman"/>
          <w:b/>
          <w:bCs/>
          <w:color w:val="000000" w:themeColor="text1"/>
          <w:sz w:val="24"/>
          <w:szCs w:val="24"/>
        </w:rPr>
        <w:t>Legal Advocacy and Strategic Litigation</w:t>
      </w:r>
    </w:p>
    <w:p w14:paraId="0C23711B" w14:textId="0117DFB9" w:rsidR="00FA35A8" w:rsidRPr="00913B4A" w:rsidRDefault="00FA35A8" w:rsidP="00913B4A">
      <w:pPr>
        <w:pStyle w:val="FirstParagraph"/>
        <w:jc w:val="both"/>
        <w:rPr>
          <w:rFonts w:ascii="Times New Roman" w:hAnsi="Times New Roman" w:cs="Times New Roman"/>
          <w:color w:val="000000" w:themeColor="text1"/>
        </w:rPr>
      </w:pPr>
      <w:r w:rsidRPr="00913B4A">
        <w:rPr>
          <w:rFonts w:ascii="Times New Roman" w:hAnsi="Times New Roman" w:cs="Times New Roman"/>
          <w:color w:val="000000" w:themeColor="text1"/>
        </w:rPr>
        <w:t>Strategic litigation has emerged as a crucial tool for advancing sex workers’ rights through judicial recognition and intervention. Public interest litigation initiated by sex worker collectives and allied organizations has challenged discriminatory laws, policies, and practices while seeking affirmative recognition of fundamental rights.</w:t>
      </w:r>
      <w:r w:rsidR="00913B4A">
        <w:rPr>
          <w:rFonts w:ascii="Times New Roman" w:hAnsi="Times New Roman" w:cs="Times New Roman"/>
          <w:color w:val="000000" w:themeColor="text1"/>
        </w:rPr>
        <w:t xml:space="preserve"> </w:t>
      </w:r>
      <w:r w:rsidRPr="00913B4A">
        <w:rPr>
          <w:rFonts w:ascii="Times New Roman" w:hAnsi="Times New Roman" w:cs="Times New Roman"/>
          <w:color w:val="000000" w:themeColor="text1"/>
        </w:rPr>
        <w:t>These cases have generated judicial directives that establish important precedents for rights protection while exposing the contradictions and harms of current legal approaches.</w:t>
      </w:r>
    </w:p>
    <w:p w14:paraId="46B6C82A" w14:textId="77777777" w:rsidR="00FA35A8" w:rsidRPr="00913B4A" w:rsidRDefault="00FA35A8" w:rsidP="00913B4A">
      <w:pPr>
        <w:pStyle w:val="BodyText"/>
        <w:jc w:val="both"/>
        <w:rPr>
          <w:rFonts w:ascii="Times New Roman" w:hAnsi="Times New Roman" w:cs="Times New Roman"/>
          <w:color w:val="000000" w:themeColor="text1"/>
        </w:rPr>
      </w:pPr>
      <w:r w:rsidRPr="00913B4A">
        <w:rPr>
          <w:rFonts w:ascii="Times New Roman" w:hAnsi="Times New Roman" w:cs="Times New Roman"/>
          <w:color w:val="000000" w:themeColor="text1"/>
        </w:rPr>
        <w:t xml:space="preserve">The ongoing Budhadev Karmaskar case represents the most comprehensive example of strategic litigation, evolving from a criminal appeal regarding the murder of a sex worker to a </w:t>
      </w:r>
      <w:r w:rsidRPr="00913B4A">
        <w:rPr>
          <w:rFonts w:ascii="Times New Roman" w:hAnsi="Times New Roman" w:cs="Times New Roman"/>
          <w:color w:val="000000" w:themeColor="text1"/>
        </w:rPr>
        <w:lastRenderedPageBreak/>
        <w:t xml:space="preserve">wide-ranging public interest litigation addressing the systemic discrimination and rights violations experienced by sex workers </w:t>
      </w:r>
      <w:proofErr w:type="spellStart"/>
      <w:r w:rsidRPr="00913B4A">
        <w:rPr>
          <w:rFonts w:ascii="Times New Roman" w:hAnsi="Times New Roman" w:cs="Times New Roman"/>
          <w:color w:val="000000" w:themeColor="text1"/>
        </w:rPr>
        <w:t>nationwide.Through</w:t>
      </w:r>
      <w:proofErr w:type="spellEnd"/>
      <w:r w:rsidRPr="00913B4A">
        <w:rPr>
          <w:rFonts w:ascii="Times New Roman" w:hAnsi="Times New Roman" w:cs="Times New Roman"/>
          <w:color w:val="000000" w:themeColor="text1"/>
        </w:rPr>
        <w:t xml:space="preserve"> expert committee formation, stakeholder consultations, and evidence gathering, this case has generated judicial directives that significantly advance rights recognition while highlighting implementation gaps and institutional resistance.</w:t>
      </w:r>
    </w:p>
    <w:p w14:paraId="6D29C54D" w14:textId="77777777" w:rsidR="00FA35A8" w:rsidRPr="00913B4A" w:rsidRDefault="00FA35A8" w:rsidP="00913B4A">
      <w:pPr>
        <w:pStyle w:val="BodyText"/>
        <w:jc w:val="both"/>
        <w:rPr>
          <w:rFonts w:ascii="Times New Roman" w:hAnsi="Times New Roman" w:cs="Times New Roman"/>
          <w:color w:val="000000" w:themeColor="text1"/>
        </w:rPr>
      </w:pPr>
      <w:r w:rsidRPr="00913B4A">
        <w:rPr>
          <w:rFonts w:ascii="Times New Roman" w:hAnsi="Times New Roman" w:cs="Times New Roman"/>
          <w:color w:val="000000" w:themeColor="text1"/>
        </w:rPr>
        <w:t>Legal advocacy initiatives have extended beyond litigation to include policy advocacy, legal awareness training for sex workers, and documentation of rights violations to support accountability claims. Organizations such as Lawyers Collective and the Centre for Advocacy on Stigma and Marginalization have developed comprehensive documentation of police violence, healthcare discrimination, and other rights violations experienced by sex workers, creating an evidence base for advocacy and accountability.</w:t>
      </w:r>
    </w:p>
    <w:p w14:paraId="76831733" w14:textId="3A0DE36B" w:rsidR="00FA35A8" w:rsidRPr="00913B4A" w:rsidRDefault="00FA35A8" w:rsidP="00913B4A">
      <w:pPr>
        <w:jc w:val="both"/>
        <w:rPr>
          <w:rFonts w:ascii="Times New Roman" w:hAnsi="Times New Roman" w:cs="Times New Roman"/>
        </w:rPr>
      </w:pPr>
      <w:r w:rsidRPr="00913B4A">
        <w:rPr>
          <w:rFonts w:ascii="Times New Roman" w:hAnsi="Times New Roman" w:cs="Times New Roman"/>
        </w:rPr>
        <w:t>Paralegal training programs conducted by sex worker organizations have enhanced community capacity to document and challenge rights violations, with trained community paralegals providing immediate support during police raids, healthcare discrimination incidents, and eviction threats.</w:t>
      </w:r>
      <w:r w:rsidR="00913B4A" w:rsidRPr="00913B4A">
        <w:rPr>
          <w:rFonts w:ascii="Times New Roman" w:hAnsi="Times New Roman" w:cs="Times New Roman"/>
        </w:rPr>
        <w:t xml:space="preserve"> </w:t>
      </w:r>
      <w:r w:rsidRPr="00913B4A">
        <w:rPr>
          <w:rFonts w:ascii="Times New Roman" w:hAnsi="Times New Roman" w:cs="Times New Roman"/>
        </w:rPr>
        <w:t>These community-based legal empowerment initiatives represent a shift from dependency on external legal expertise to community-led rights assertion and defense.</w:t>
      </w:r>
    </w:p>
    <w:p w14:paraId="1E1E0607" w14:textId="1121CAE7" w:rsidR="00FA35A8" w:rsidRPr="00913B4A" w:rsidRDefault="00913B4A" w:rsidP="00913B4A">
      <w:pPr>
        <w:pStyle w:val="Heading1"/>
        <w:jc w:val="both"/>
        <w:rPr>
          <w:rFonts w:ascii="Times New Roman" w:hAnsi="Times New Roman" w:cs="Times New Roman"/>
          <w:b/>
          <w:bCs/>
          <w:color w:val="000000" w:themeColor="text1"/>
          <w:sz w:val="24"/>
          <w:szCs w:val="24"/>
        </w:rPr>
      </w:pPr>
      <w:bookmarkStart w:id="10" w:name="conclusion"/>
      <w:bookmarkEnd w:id="6"/>
      <w:bookmarkEnd w:id="9"/>
      <w:r w:rsidRPr="00913B4A">
        <w:rPr>
          <w:rFonts w:ascii="Times New Roman" w:hAnsi="Times New Roman" w:cs="Times New Roman"/>
          <w:b/>
          <w:bCs/>
          <w:color w:val="000000" w:themeColor="text1"/>
          <w:sz w:val="24"/>
          <w:szCs w:val="24"/>
        </w:rPr>
        <w:t xml:space="preserve">VI. </w:t>
      </w:r>
      <w:r w:rsidR="00FA35A8" w:rsidRPr="00913B4A">
        <w:rPr>
          <w:rFonts w:ascii="Times New Roman" w:hAnsi="Times New Roman" w:cs="Times New Roman"/>
          <w:b/>
          <w:bCs/>
          <w:color w:val="000000" w:themeColor="text1"/>
          <w:sz w:val="24"/>
          <w:szCs w:val="24"/>
        </w:rPr>
        <w:t>Conclusion</w:t>
      </w:r>
    </w:p>
    <w:p w14:paraId="00D9EFD2" w14:textId="77777777" w:rsidR="00FA35A8" w:rsidRPr="00913B4A" w:rsidRDefault="00FA35A8" w:rsidP="00913B4A">
      <w:pPr>
        <w:pStyle w:val="FirstParagraph"/>
        <w:jc w:val="both"/>
        <w:rPr>
          <w:rFonts w:ascii="Times New Roman" w:hAnsi="Times New Roman" w:cs="Times New Roman"/>
          <w:color w:val="000000" w:themeColor="text1"/>
        </w:rPr>
      </w:pPr>
      <w:r w:rsidRPr="00913B4A">
        <w:rPr>
          <w:rFonts w:ascii="Times New Roman" w:hAnsi="Times New Roman" w:cs="Times New Roman"/>
          <w:color w:val="000000" w:themeColor="text1"/>
        </w:rPr>
        <w:t>The complex interplay between India’s legal framework and social attitudes continues to shape the human rights landscape for sex workers across the nation. Despite incremental progress through landmark court decisions and advocacy efforts,</w:t>
      </w:r>
      <w:r w:rsidRPr="00913B4A">
        <w:rPr>
          <w:rStyle w:val="FootnoteReference"/>
          <w:rFonts w:ascii="Times New Roman" w:hAnsi="Times New Roman" w:cs="Times New Roman"/>
          <w:color w:val="000000" w:themeColor="text1"/>
        </w:rPr>
        <w:footnoteReference w:id="44"/>
      </w:r>
      <w:r w:rsidRPr="00913B4A">
        <w:rPr>
          <w:rFonts w:ascii="Times New Roman" w:hAnsi="Times New Roman" w:cs="Times New Roman"/>
          <w:color w:val="000000" w:themeColor="text1"/>
        </w:rPr>
        <w:t xml:space="preserve"> sex workers remain caught in a paradoxical system where their work exists in legal ambiguity while they face persistent stigmatization and rights violations.</w:t>
      </w:r>
      <w:r w:rsidRPr="00913B4A">
        <w:rPr>
          <w:rStyle w:val="FootnoteReference"/>
          <w:rFonts w:ascii="Times New Roman" w:hAnsi="Times New Roman" w:cs="Times New Roman"/>
          <w:color w:val="000000" w:themeColor="text1"/>
        </w:rPr>
        <w:footnoteReference w:id="45"/>
      </w:r>
    </w:p>
    <w:p w14:paraId="43D20462" w14:textId="77777777" w:rsidR="00FA35A8" w:rsidRPr="00913B4A" w:rsidRDefault="00FA35A8" w:rsidP="00913B4A">
      <w:pPr>
        <w:pStyle w:val="BodyText"/>
        <w:jc w:val="both"/>
        <w:rPr>
          <w:rFonts w:ascii="Times New Roman" w:hAnsi="Times New Roman" w:cs="Times New Roman"/>
          <w:color w:val="000000" w:themeColor="text1"/>
        </w:rPr>
      </w:pPr>
      <w:r w:rsidRPr="00913B4A">
        <w:rPr>
          <w:rFonts w:ascii="Times New Roman" w:hAnsi="Times New Roman" w:cs="Times New Roman"/>
          <w:color w:val="000000" w:themeColor="text1"/>
        </w:rPr>
        <w:t>This analysis reveals that meaningful progress requires a multidimensional approach. Legal reforms alone, while necessary, cannot address the deeply entrenched social marginalization that perpetuates vulnerability.</w:t>
      </w:r>
      <w:r w:rsidRPr="00913B4A">
        <w:rPr>
          <w:rStyle w:val="FootnoteReference"/>
          <w:rFonts w:ascii="Times New Roman" w:hAnsi="Times New Roman" w:cs="Times New Roman"/>
          <w:color w:val="000000" w:themeColor="text1"/>
        </w:rPr>
        <w:footnoteReference w:id="46"/>
      </w:r>
      <w:r w:rsidRPr="00913B4A">
        <w:rPr>
          <w:rFonts w:ascii="Times New Roman" w:hAnsi="Times New Roman" w:cs="Times New Roman"/>
          <w:color w:val="000000" w:themeColor="text1"/>
        </w:rPr>
        <w:t xml:space="preserve"> The advancement of sex workers’ rights demands recognition of their agency and humanity first—acknowledging that human rights protections must extend to all citizens regardless of occupation or social standing.</w:t>
      </w:r>
      <w:r w:rsidRPr="00913B4A">
        <w:rPr>
          <w:rStyle w:val="FootnoteReference"/>
          <w:rFonts w:ascii="Times New Roman" w:hAnsi="Times New Roman" w:cs="Times New Roman"/>
          <w:color w:val="000000" w:themeColor="text1"/>
        </w:rPr>
        <w:footnoteReference w:id="47"/>
      </w:r>
    </w:p>
    <w:p w14:paraId="6AFF0D2D" w14:textId="77777777" w:rsidR="00FA35A8" w:rsidRPr="00913B4A" w:rsidRDefault="00FA35A8" w:rsidP="00913B4A">
      <w:pPr>
        <w:pStyle w:val="BodyText"/>
        <w:jc w:val="both"/>
        <w:rPr>
          <w:rFonts w:ascii="Times New Roman" w:hAnsi="Times New Roman" w:cs="Times New Roman"/>
          <w:color w:val="000000" w:themeColor="text1"/>
        </w:rPr>
      </w:pPr>
      <w:r w:rsidRPr="00913B4A">
        <w:rPr>
          <w:rFonts w:ascii="Times New Roman" w:hAnsi="Times New Roman" w:cs="Times New Roman"/>
          <w:color w:val="000000" w:themeColor="text1"/>
        </w:rPr>
        <w:t>India stands at a critical juncture where policy approaches could either reinforce harmful patterns of criminalization and exclusion or forge new pathways toward rights recognition and protection.</w:t>
      </w:r>
      <w:r w:rsidRPr="00913B4A">
        <w:rPr>
          <w:rStyle w:val="FootnoteReference"/>
          <w:rFonts w:ascii="Times New Roman" w:hAnsi="Times New Roman" w:cs="Times New Roman"/>
          <w:color w:val="000000" w:themeColor="text1"/>
        </w:rPr>
        <w:footnoteReference w:id="48"/>
      </w:r>
      <w:r w:rsidRPr="00913B4A">
        <w:rPr>
          <w:rFonts w:ascii="Times New Roman" w:hAnsi="Times New Roman" w:cs="Times New Roman"/>
          <w:color w:val="000000" w:themeColor="text1"/>
        </w:rPr>
        <w:t xml:space="preserve"> The voices of sex workers themselves must be centered in this discourse, as they possess unique insights into the systemic failures and potential solutions that outsiders often overlook.</w:t>
      </w:r>
      <w:r w:rsidRPr="00913B4A">
        <w:rPr>
          <w:rStyle w:val="FootnoteReference"/>
          <w:rFonts w:ascii="Times New Roman" w:hAnsi="Times New Roman" w:cs="Times New Roman"/>
          <w:color w:val="000000" w:themeColor="text1"/>
        </w:rPr>
        <w:footnoteReference w:id="49"/>
      </w:r>
      <w:r w:rsidRPr="00913B4A">
        <w:rPr>
          <w:rFonts w:ascii="Times New Roman" w:hAnsi="Times New Roman" w:cs="Times New Roman"/>
          <w:color w:val="000000" w:themeColor="text1"/>
        </w:rPr>
        <w:t xml:space="preserve"> Their lived experiences illuminate the gap between constitutional promises and everyday realities.</w:t>
      </w:r>
    </w:p>
    <w:p w14:paraId="55A95A07" w14:textId="77777777" w:rsidR="00FA35A8" w:rsidRPr="00913B4A" w:rsidRDefault="00FA35A8" w:rsidP="00913B4A">
      <w:pPr>
        <w:pStyle w:val="BodyText"/>
        <w:jc w:val="both"/>
        <w:rPr>
          <w:rFonts w:ascii="Times New Roman" w:hAnsi="Times New Roman" w:cs="Times New Roman"/>
          <w:color w:val="000000" w:themeColor="text1"/>
        </w:rPr>
      </w:pPr>
      <w:r w:rsidRPr="00913B4A">
        <w:rPr>
          <w:rFonts w:ascii="Times New Roman" w:hAnsi="Times New Roman" w:cs="Times New Roman"/>
          <w:color w:val="000000" w:themeColor="text1"/>
        </w:rPr>
        <w:lastRenderedPageBreak/>
        <w:t>Moving forward, a human rights-based framework offers the most promising avenue for reconciling the tensions between protection and agency.</w:t>
      </w:r>
      <w:r w:rsidRPr="00913B4A">
        <w:rPr>
          <w:rStyle w:val="FootnoteReference"/>
          <w:rFonts w:ascii="Times New Roman" w:hAnsi="Times New Roman" w:cs="Times New Roman"/>
          <w:color w:val="000000" w:themeColor="text1"/>
        </w:rPr>
        <w:footnoteReference w:id="50"/>
      </w:r>
      <w:r w:rsidRPr="00913B4A">
        <w:rPr>
          <w:rFonts w:ascii="Times New Roman" w:hAnsi="Times New Roman" w:cs="Times New Roman"/>
          <w:color w:val="000000" w:themeColor="text1"/>
        </w:rPr>
        <w:t xml:space="preserve"> This approach recognizes sex workers not as victims requiring rescue nor as criminals requiring punishment, but as citizens entitled to dignity, safety, and equality before the law. It challenges both the paternalistic impulses of protectionist policies and the harmful consequences of criminalization.</w:t>
      </w:r>
      <w:r w:rsidRPr="00913B4A">
        <w:rPr>
          <w:rStyle w:val="FootnoteReference"/>
          <w:rFonts w:ascii="Times New Roman" w:hAnsi="Times New Roman" w:cs="Times New Roman"/>
          <w:color w:val="000000" w:themeColor="text1"/>
        </w:rPr>
        <w:footnoteReference w:id="51"/>
      </w:r>
    </w:p>
    <w:p w14:paraId="5CEFA0EC" w14:textId="77777777" w:rsidR="00FA35A8" w:rsidRPr="00913B4A" w:rsidRDefault="00FA35A8" w:rsidP="00913B4A">
      <w:pPr>
        <w:pStyle w:val="BodyText"/>
        <w:jc w:val="both"/>
        <w:rPr>
          <w:rFonts w:ascii="Times New Roman" w:hAnsi="Times New Roman" w:cs="Times New Roman"/>
          <w:color w:val="000000" w:themeColor="text1"/>
        </w:rPr>
      </w:pPr>
      <w:r w:rsidRPr="00913B4A">
        <w:rPr>
          <w:rFonts w:ascii="Times New Roman" w:hAnsi="Times New Roman" w:cs="Times New Roman"/>
          <w:color w:val="000000" w:themeColor="text1"/>
        </w:rPr>
        <w:t>The journey toward full recognition of sex workers’ human rights will require sustained commitment from multiple stakeholders—legal reformers, public health advocates, community organizations, and society at large.</w:t>
      </w:r>
      <w:r w:rsidRPr="00913B4A">
        <w:rPr>
          <w:rStyle w:val="FootnoteReference"/>
          <w:rFonts w:ascii="Times New Roman" w:hAnsi="Times New Roman" w:cs="Times New Roman"/>
          <w:color w:val="000000" w:themeColor="text1"/>
        </w:rPr>
        <w:footnoteReference w:id="52"/>
      </w:r>
      <w:r w:rsidRPr="00913B4A">
        <w:rPr>
          <w:rFonts w:ascii="Times New Roman" w:hAnsi="Times New Roman" w:cs="Times New Roman"/>
          <w:color w:val="000000" w:themeColor="text1"/>
        </w:rPr>
        <w:t xml:space="preserve"> By addressing both structural inequalities and immediate vulnerabilities, India has the opportunity to develop a more inclusive human rights paradigm that truly leaves no one beyond the margins.</w:t>
      </w:r>
      <w:r w:rsidRPr="00913B4A">
        <w:rPr>
          <w:rStyle w:val="FootnoteReference"/>
          <w:rFonts w:ascii="Times New Roman" w:hAnsi="Times New Roman" w:cs="Times New Roman"/>
          <w:color w:val="000000" w:themeColor="text1"/>
        </w:rPr>
        <w:footnoteReference w:id="53"/>
      </w:r>
    </w:p>
    <w:bookmarkEnd w:id="10"/>
    <w:p w14:paraId="6FFD6A87" w14:textId="77777777" w:rsidR="00FA35A8" w:rsidRPr="00913B4A" w:rsidRDefault="00FA35A8" w:rsidP="00913B4A">
      <w:pPr>
        <w:pStyle w:val="BodyText"/>
        <w:jc w:val="both"/>
        <w:rPr>
          <w:rFonts w:ascii="Times New Roman" w:hAnsi="Times New Roman" w:cs="Times New Roman"/>
          <w:color w:val="000000" w:themeColor="text1"/>
        </w:rPr>
      </w:pPr>
    </w:p>
    <w:p w14:paraId="7E7FDD83" w14:textId="77777777" w:rsidR="00FA35A8" w:rsidRPr="00913B4A" w:rsidRDefault="00FA35A8" w:rsidP="00913B4A">
      <w:pPr>
        <w:pStyle w:val="BodyText"/>
        <w:jc w:val="both"/>
        <w:rPr>
          <w:rFonts w:ascii="Times New Roman" w:hAnsi="Times New Roman" w:cs="Times New Roman"/>
          <w:color w:val="000000" w:themeColor="text1"/>
        </w:rPr>
      </w:pPr>
    </w:p>
    <w:p w14:paraId="661BA009" w14:textId="5216695B" w:rsidR="008B302C" w:rsidRPr="00913B4A" w:rsidRDefault="008B302C" w:rsidP="00913B4A">
      <w:pPr>
        <w:jc w:val="both"/>
        <w:rPr>
          <w:rFonts w:ascii="Times New Roman" w:hAnsi="Times New Roman" w:cs="Times New Roman"/>
        </w:rPr>
      </w:pPr>
    </w:p>
    <w:p w14:paraId="35090081" w14:textId="77777777" w:rsidR="00457797" w:rsidRPr="00913B4A" w:rsidRDefault="00457797" w:rsidP="00913B4A">
      <w:pPr>
        <w:jc w:val="both"/>
        <w:rPr>
          <w:rFonts w:ascii="Times New Roman" w:hAnsi="Times New Roman" w:cs="Times New Roman"/>
        </w:rPr>
      </w:pPr>
    </w:p>
    <w:p w14:paraId="747BA7B7" w14:textId="70D56A8F" w:rsidR="00457797" w:rsidRPr="00913B4A" w:rsidRDefault="00457797" w:rsidP="00913B4A">
      <w:pPr>
        <w:jc w:val="both"/>
        <w:rPr>
          <w:rFonts w:ascii="Times New Roman" w:hAnsi="Times New Roman" w:cs="Times New Roman"/>
        </w:rPr>
      </w:pPr>
      <w:r w:rsidRPr="00913B4A">
        <w:rPr>
          <w:rFonts w:ascii="Times New Roman" w:hAnsi="Times New Roman" w:cs="Times New Roman"/>
        </w:rPr>
        <w:t xml:space="preserve">                                                                                                                    </w:t>
      </w:r>
    </w:p>
    <w:p w14:paraId="7B510AD3" w14:textId="77777777" w:rsidR="004204A3" w:rsidRPr="00913B4A" w:rsidRDefault="004204A3" w:rsidP="00913B4A">
      <w:pPr>
        <w:jc w:val="both"/>
        <w:rPr>
          <w:rFonts w:ascii="Times New Roman" w:hAnsi="Times New Roman" w:cs="Times New Roman"/>
        </w:rPr>
      </w:pPr>
    </w:p>
    <w:p w14:paraId="3CBEC23E" w14:textId="77777777" w:rsidR="00913B4A" w:rsidRPr="00913B4A" w:rsidRDefault="00913B4A" w:rsidP="00913B4A">
      <w:pPr>
        <w:jc w:val="both"/>
        <w:rPr>
          <w:rFonts w:ascii="Times New Roman" w:hAnsi="Times New Roman" w:cs="Times New Roman"/>
        </w:rPr>
      </w:pPr>
    </w:p>
    <w:sectPr w:rsidR="00913B4A" w:rsidRPr="00913B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3E1B8" w14:textId="77777777" w:rsidR="00603E54" w:rsidRDefault="00603E54" w:rsidP="00C3561C">
      <w:pPr>
        <w:spacing w:after="0"/>
      </w:pPr>
      <w:r>
        <w:separator/>
      </w:r>
    </w:p>
  </w:endnote>
  <w:endnote w:type="continuationSeparator" w:id="0">
    <w:p w14:paraId="13C959E4" w14:textId="77777777" w:rsidR="00603E54" w:rsidRDefault="00603E54" w:rsidP="00C356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955BB" w14:textId="77777777" w:rsidR="00603E54" w:rsidRDefault="00603E54" w:rsidP="00C3561C">
      <w:pPr>
        <w:spacing w:after="0"/>
      </w:pPr>
      <w:r>
        <w:separator/>
      </w:r>
    </w:p>
  </w:footnote>
  <w:footnote w:type="continuationSeparator" w:id="0">
    <w:p w14:paraId="50F4F1F6" w14:textId="77777777" w:rsidR="00603E54" w:rsidRDefault="00603E54" w:rsidP="00C3561C">
      <w:pPr>
        <w:spacing w:after="0"/>
      </w:pPr>
      <w:r>
        <w:continuationSeparator/>
      </w:r>
    </w:p>
  </w:footnote>
  <w:footnote w:id="1">
    <w:p w14:paraId="78BCDC27" w14:textId="0FD46AD3" w:rsidR="00F54309" w:rsidRPr="00F54309" w:rsidRDefault="00F54309" w:rsidP="00F54309">
      <w:pPr>
        <w:pStyle w:val="FootnoteText"/>
        <w:spacing w:after="0"/>
        <w:rPr>
          <w:rFonts w:ascii="Times New Roman" w:hAnsi="Times New Roman" w:cs="Times New Roman"/>
          <w:sz w:val="20"/>
          <w:szCs w:val="20"/>
          <w:lang w:val="en-IN"/>
        </w:rPr>
      </w:pPr>
      <w:r>
        <w:rPr>
          <w:rStyle w:val="FootnoteReference"/>
        </w:rPr>
        <w:t>*</w:t>
      </w:r>
      <w:r>
        <w:t xml:space="preserve"> </w:t>
      </w:r>
      <w:r w:rsidRPr="00F54309">
        <w:rPr>
          <w:rFonts w:ascii="Times New Roman" w:hAnsi="Times New Roman" w:cs="Times New Roman"/>
          <w:sz w:val="20"/>
          <w:szCs w:val="20"/>
        </w:rPr>
        <w:t>Assistant Professor, School of Law, Vels Institute of Science, Technology and Advanced Studies (VISTAS)</w:t>
      </w:r>
    </w:p>
  </w:footnote>
  <w:footnote w:id="2">
    <w:p w14:paraId="544D61DE" w14:textId="095E68DB" w:rsidR="00F54309" w:rsidRPr="00F54309" w:rsidRDefault="00F54309" w:rsidP="00F54309">
      <w:pPr>
        <w:pStyle w:val="FootnoteText"/>
        <w:spacing w:after="0"/>
        <w:rPr>
          <w:lang w:val="en-IN"/>
        </w:rPr>
      </w:pPr>
      <w:r w:rsidRPr="00F54309">
        <w:rPr>
          <w:rStyle w:val="FootnoteReference"/>
          <w:rFonts w:ascii="Times New Roman" w:hAnsi="Times New Roman" w:cs="Times New Roman"/>
          <w:sz w:val="20"/>
          <w:szCs w:val="20"/>
        </w:rPr>
        <w:t>*</w:t>
      </w:r>
      <w:r w:rsidRPr="00F54309">
        <w:rPr>
          <w:rFonts w:ascii="Times New Roman" w:hAnsi="Times New Roman" w:cs="Times New Roman"/>
          <w:sz w:val="20"/>
          <w:szCs w:val="20"/>
        </w:rPr>
        <w:t xml:space="preserve"> Assistant Professor, School of Law, Vels Institute of Science, Technology and Advanced Studies (VISTAS)</w:t>
      </w:r>
    </w:p>
  </w:footnote>
  <w:footnote w:id="3">
    <w:p w14:paraId="623CB0A5" w14:textId="6E4A8656" w:rsidR="00A01F9B" w:rsidRPr="00913B4A" w:rsidRDefault="00A01F9B">
      <w:pPr>
        <w:pStyle w:val="FootnoteText"/>
        <w:rPr>
          <w:rFonts w:ascii="Times New Roman" w:hAnsi="Times New Roman" w:cs="Times New Roman"/>
          <w:sz w:val="20"/>
          <w:szCs w:val="20"/>
        </w:rPr>
      </w:pPr>
      <w:r w:rsidRPr="00913B4A">
        <w:rPr>
          <w:rStyle w:val="FootnoteReference"/>
          <w:rFonts w:ascii="Times New Roman" w:hAnsi="Times New Roman" w:cs="Times New Roman"/>
          <w:sz w:val="20"/>
          <w:szCs w:val="20"/>
        </w:rPr>
        <w:footnoteRef/>
      </w:r>
      <w:r w:rsidRPr="00913B4A">
        <w:rPr>
          <w:rFonts w:ascii="Times New Roman" w:hAnsi="Times New Roman" w:cs="Times New Roman"/>
          <w:sz w:val="20"/>
          <w:szCs w:val="20"/>
        </w:rPr>
        <w:t xml:space="preserve"> The Immoral Traffic (Prevention) Act, Budhadev Karmaskar v. State 1956, No. 104, Acts of Parliament, 1956 (India)</w:t>
      </w:r>
    </w:p>
  </w:footnote>
  <w:footnote w:id="4">
    <w:p w14:paraId="6F298EB0" w14:textId="294D38E4" w:rsidR="008D3493" w:rsidRPr="00913B4A" w:rsidRDefault="008D3493" w:rsidP="00913B4A">
      <w:pPr>
        <w:pStyle w:val="FootnoteText"/>
        <w:spacing w:after="0"/>
        <w:rPr>
          <w:rFonts w:ascii="Times New Roman" w:hAnsi="Times New Roman" w:cs="Times New Roman"/>
          <w:sz w:val="20"/>
          <w:szCs w:val="20"/>
          <w:lang w:val="en-IN"/>
        </w:rPr>
      </w:pPr>
      <w:r>
        <w:rPr>
          <w:rStyle w:val="FootnoteReference"/>
        </w:rPr>
        <w:footnoteRef/>
      </w:r>
      <w:r>
        <w:t xml:space="preserve"> </w:t>
      </w:r>
      <w:r w:rsidR="00515588" w:rsidRPr="00913B4A">
        <w:rPr>
          <w:rFonts w:ascii="Times New Roman" w:hAnsi="Times New Roman" w:cs="Times New Roman"/>
          <w:sz w:val="20"/>
          <w:szCs w:val="20"/>
        </w:rPr>
        <w:t>Banerjee, Sumanta, “Dangerous Outcast: The Prostitute in Nineteenth Century Bengal” (Seagull Books, 1998), 7 112-135</w:t>
      </w:r>
    </w:p>
  </w:footnote>
  <w:footnote w:id="5">
    <w:p w14:paraId="04CEEEF7" w14:textId="761AA6E9" w:rsidR="00FB71E1" w:rsidRPr="00913B4A" w:rsidRDefault="00FB71E1" w:rsidP="00913B4A">
      <w:pPr>
        <w:pStyle w:val="FootnoteText"/>
        <w:spacing w:after="0"/>
        <w:rPr>
          <w:rFonts w:ascii="Times New Roman" w:hAnsi="Times New Roman" w:cs="Times New Roman"/>
          <w:sz w:val="20"/>
          <w:szCs w:val="20"/>
        </w:rPr>
      </w:pPr>
      <w:r w:rsidRPr="00913B4A">
        <w:rPr>
          <w:rStyle w:val="FootnoteReference"/>
          <w:rFonts w:ascii="Times New Roman" w:hAnsi="Times New Roman" w:cs="Times New Roman"/>
          <w:sz w:val="20"/>
          <w:szCs w:val="20"/>
        </w:rPr>
        <w:footnoteRef/>
      </w:r>
      <w:r w:rsidRPr="00913B4A">
        <w:rPr>
          <w:rFonts w:ascii="Times New Roman" w:hAnsi="Times New Roman" w:cs="Times New Roman"/>
          <w:sz w:val="20"/>
          <w:szCs w:val="20"/>
        </w:rPr>
        <w:t>Gaurav Jain v. Union of India, (1997) 8 SCC 114</w:t>
      </w:r>
    </w:p>
  </w:footnote>
  <w:footnote w:id="6">
    <w:p w14:paraId="786C9810" w14:textId="54951385" w:rsidR="00B33DF6" w:rsidRPr="00913B4A" w:rsidRDefault="00B33DF6" w:rsidP="00913B4A">
      <w:pPr>
        <w:pStyle w:val="FootnoteText"/>
        <w:spacing w:after="0"/>
        <w:rPr>
          <w:rFonts w:ascii="Times New Roman" w:hAnsi="Times New Roman" w:cs="Times New Roman"/>
          <w:sz w:val="20"/>
          <w:szCs w:val="20"/>
          <w:lang w:val="en-IN"/>
        </w:rPr>
      </w:pPr>
      <w:r w:rsidRPr="00913B4A">
        <w:rPr>
          <w:rStyle w:val="FootnoteReference"/>
          <w:rFonts w:ascii="Times New Roman" w:hAnsi="Times New Roman" w:cs="Times New Roman"/>
          <w:sz w:val="20"/>
          <w:szCs w:val="20"/>
        </w:rPr>
        <w:footnoteRef/>
      </w:r>
      <w:r w:rsidRPr="00913B4A">
        <w:rPr>
          <w:rFonts w:ascii="Times New Roman" w:hAnsi="Times New Roman" w:cs="Times New Roman"/>
          <w:sz w:val="20"/>
          <w:szCs w:val="20"/>
        </w:rPr>
        <w:t>State of Uttar Pradesh v. Kaushalya, AIR 1964 SC 416</w:t>
      </w:r>
    </w:p>
  </w:footnote>
  <w:footnote w:id="7">
    <w:p w14:paraId="211756C3" w14:textId="28D7EBB5" w:rsidR="00B33DF6" w:rsidRPr="00B33DF6" w:rsidRDefault="00B33DF6" w:rsidP="00913B4A">
      <w:pPr>
        <w:pStyle w:val="FootnoteText"/>
        <w:spacing w:after="0"/>
        <w:rPr>
          <w:lang w:val="en-IN"/>
        </w:rPr>
      </w:pPr>
      <w:r w:rsidRPr="00913B4A">
        <w:rPr>
          <w:rStyle w:val="FootnoteReference"/>
          <w:rFonts w:ascii="Times New Roman" w:hAnsi="Times New Roman" w:cs="Times New Roman"/>
          <w:sz w:val="20"/>
          <w:szCs w:val="20"/>
        </w:rPr>
        <w:footnoteRef/>
      </w:r>
      <w:r w:rsidRPr="00913B4A">
        <w:rPr>
          <w:rFonts w:ascii="Times New Roman" w:hAnsi="Times New Roman" w:cs="Times New Roman"/>
          <w:sz w:val="20"/>
          <w:szCs w:val="20"/>
        </w:rPr>
        <w:t xml:space="preserve"> </w:t>
      </w:r>
      <w:proofErr w:type="spellStart"/>
      <w:r w:rsidRPr="00913B4A">
        <w:rPr>
          <w:rFonts w:ascii="Times New Roman" w:hAnsi="Times New Roman" w:cs="Times New Roman"/>
          <w:sz w:val="20"/>
          <w:szCs w:val="20"/>
        </w:rPr>
        <w:t>Kotiswaran</w:t>
      </w:r>
      <w:proofErr w:type="spellEnd"/>
      <w:r w:rsidRPr="00913B4A">
        <w:rPr>
          <w:rFonts w:ascii="Times New Roman" w:hAnsi="Times New Roman" w:cs="Times New Roman"/>
          <w:sz w:val="20"/>
          <w:szCs w:val="20"/>
        </w:rPr>
        <w:t>, Prabha, “Dangerous Sex, Invisible Labor: Sex Work and the Law in India” (Princeton University 12 Press, 2011), 78-92</w:t>
      </w:r>
    </w:p>
  </w:footnote>
  <w:footnote w:id="8">
    <w:p w14:paraId="739F4EF6" w14:textId="7705389F" w:rsidR="00B33DF6" w:rsidRPr="00913B4A" w:rsidRDefault="00B33DF6" w:rsidP="00913B4A">
      <w:pPr>
        <w:pStyle w:val="FootnoteText"/>
        <w:spacing w:after="0"/>
        <w:rPr>
          <w:rFonts w:ascii="Times New Roman" w:hAnsi="Times New Roman" w:cs="Times New Roman"/>
          <w:sz w:val="20"/>
          <w:szCs w:val="20"/>
          <w:lang w:val="en-IN"/>
        </w:rPr>
      </w:pPr>
      <w:r>
        <w:rPr>
          <w:rStyle w:val="FootnoteReference"/>
        </w:rPr>
        <w:footnoteRef/>
      </w:r>
      <w:r>
        <w:t xml:space="preserve"> </w:t>
      </w:r>
      <w:r w:rsidRPr="00913B4A">
        <w:rPr>
          <w:rFonts w:ascii="Times New Roman" w:hAnsi="Times New Roman" w:cs="Times New Roman"/>
          <w:sz w:val="20"/>
          <w:szCs w:val="20"/>
        </w:rPr>
        <w:t>Sahni, Rohini and V. Kalyan Shankar, “The First Pan-India Survey of Sex Workers: A Summary of Preliminary 13 Findings” (Center for Advocacy on Stigma and Marginalization, 2011), 23-27.</w:t>
      </w:r>
    </w:p>
  </w:footnote>
  <w:footnote w:id="9">
    <w:p w14:paraId="4C7825E8" w14:textId="75E84B6B" w:rsidR="007944AA" w:rsidRPr="00913B4A" w:rsidRDefault="007944AA" w:rsidP="00913B4A">
      <w:pPr>
        <w:pStyle w:val="FootnoteText"/>
        <w:spacing w:after="0"/>
        <w:rPr>
          <w:rFonts w:ascii="Times New Roman" w:hAnsi="Times New Roman" w:cs="Times New Roman"/>
          <w:sz w:val="20"/>
          <w:szCs w:val="20"/>
          <w:lang w:val="en-IN"/>
        </w:rPr>
      </w:pPr>
      <w:r w:rsidRPr="00913B4A">
        <w:rPr>
          <w:rStyle w:val="FootnoteReference"/>
          <w:rFonts w:ascii="Times New Roman" w:hAnsi="Times New Roman" w:cs="Times New Roman"/>
          <w:sz w:val="20"/>
          <w:szCs w:val="20"/>
        </w:rPr>
        <w:footnoteRef/>
      </w:r>
      <w:r w:rsidRPr="00913B4A">
        <w:rPr>
          <w:rFonts w:ascii="Times New Roman" w:hAnsi="Times New Roman" w:cs="Times New Roman"/>
          <w:sz w:val="20"/>
          <w:szCs w:val="20"/>
        </w:rPr>
        <w:t xml:space="preserve"> Tara v. State, 2012 SCC </w:t>
      </w:r>
      <w:proofErr w:type="spellStart"/>
      <w:r w:rsidRPr="00913B4A">
        <w:rPr>
          <w:rFonts w:ascii="Times New Roman" w:hAnsi="Times New Roman" w:cs="Times New Roman"/>
          <w:sz w:val="20"/>
          <w:szCs w:val="20"/>
        </w:rPr>
        <w:t>OnLine</w:t>
      </w:r>
      <w:proofErr w:type="spellEnd"/>
      <w:r w:rsidRPr="00913B4A">
        <w:rPr>
          <w:rFonts w:ascii="Times New Roman" w:hAnsi="Times New Roman" w:cs="Times New Roman"/>
          <w:sz w:val="20"/>
          <w:szCs w:val="20"/>
        </w:rPr>
        <w:t xml:space="preserve"> Del 612.</w:t>
      </w:r>
    </w:p>
  </w:footnote>
  <w:footnote w:id="10">
    <w:p w14:paraId="7E142E87" w14:textId="307BBB67" w:rsidR="007944AA" w:rsidRPr="00913B4A" w:rsidRDefault="007944AA" w:rsidP="00913B4A">
      <w:pPr>
        <w:pStyle w:val="FootnoteText"/>
        <w:spacing w:after="0"/>
        <w:rPr>
          <w:rFonts w:ascii="Times New Roman" w:hAnsi="Times New Roman" w:cs="Times New Roman"/>
          <w:sz w:val="20"/>
          <w:szCs w:val="20"/>
          <w:lang w:val="en-IN"/>
        </w:rPr>
      </w:pPr>
      <w:r w:rsidRPr="00913B4A">
        <w:rPr>
          <w:rStyle w:val="FootnoteReference"/>
          <w:rFonts w:ascii="Times New Roman" w:hAnsi="Times New Roman" w:cs="Times New Roman"/>
          <w:sz w:val="20"/>
          <w:szCs w:val="20"/>
        </w:rPr>
        <w:footnoteRef/>
      </w:r>
      <w:r w:rsidRPr="00913B4A">
        <w:rPr>
          <w:rFonts w:ascii="Times New Roman" w:hAnsi="Times New Roman" w:cs="Times New Roman"/>
          <w:sz w:val="20"/>
          <w:szCs w:val="20"/>
        </w:rPr>
        <w:t xml:space="preserve"> </w:t>
      </w:r>
      <w:proofErr w:type="spellStart"/>
      <w:r w:rsidRPr="00913B4A">
        <w:rPr>
          <w:rFonts w:ascii="Times New Roman" w:hAnsi="Times New Roman" w:cs="Times New Roman"/>
          <w:sz w:val="20"/>
          <w:szCs w:val="20"/>
        </w:rPr>
        <w:t>Sahyog</w:t>
      </w:r>
      <w:proofErr w:type="spellEnd"/>
      <w:r w:rsidRPr="00913B4A">
        <w:rPr>
          <w:rFonts w:ascii="Times New Roman" w:hAnsi="Times New Roman" w:cs="Times New Roman"/>
          <w:sz w:val="20"/>
          <w:szCs w:val="20"/>
        </w:rPr>
        <w:t xml:space="preserve"> Mahila Mandal v. State of Gujarat, 2004 </w:t>
      </w:r>
      <w:proofErr w:type="spellStart"/>
      <w:r w:rsidRPr="00913B4A">
        <w:rPr>
          <w:rFonts w:ascii="Times New Roman" w:hAnsi="Times New Roman" w:cs="Times New Roman"/>
          <w:sz w:val="20"/>
          <w:szCs w:val="20"/>
        </w:rPr>
        <w:t>CriLJ</w:t>
      </w:r>
      <w:proofErr w:type="spellEnd"/>
      <w:r w:rsidRPr="00913B4A">
        <w:rPr>
          <w:rFonts w:ascii="Times New Roman" w:hAnsi="Times New Roman" w:cs="Times New Roman"/>
          <w:sz w:val="20"/>
          <w:szCs w:val="20"/>
        </w:rPr>
        <w:t xml:space="preserve"> 2021.</w:t>
      </w:r>
    </w:p>
  </w:footnote>
  <w:footnote w:id="11">
    <w:p w14:paraId="6BA9A498" w14:textId="75E82EBD" w:rsidR="000770EF" w:rsidRPr="000770EF" w:rsidRDefault="000770EF" w:rsidP="00913B4A">
      <w:pPr>
        <w:pStyle w:val="FootnoteText"/>
        <w:spacing w:after="0"/>
        <w:rPr>
          <w:lang w:val="en-IN"/>
        </w:rPr>
      </w:pPr>
      <w:r w:rsidRPr="00913B4A">
        <w:rPr>
          <w:rStyle w:val="FootnoteReference"/>
          <w:rFonts w:ascii="Times New Roman" w:hAnsi="Times New Roman" w:cs="Times New Roman"/>
          <w:sz w:val="20"/>
          <w:szCs w:val="20"/>
        </w:rPr>
        <w:footnoteRef/>
      </w:r>
      <w:r w:rsidRPr="00913B4A">
        <w:rPr>
          <w:rFonts w:ascii="Times New Roman" w:hAnsi="Times New Roman" w:cs="Times New Roman"/>
          <w:sz w:val="20"/>
          <w:szCs w:val="20"/>
        </w:rPr>
        <w:t xml:space="preserve"> Olga Tellis v. Bombay Municipal Corporation, (1985) 3 SCC 545.</w:t>
      </w:r>
    </w:p>
  </w:footnote>
  <w:footnote w:id="12">
    <w:p w14:paraId="209BACBA" w14:textId="165B463A" w:rsidR="008B302C" w:rsidRPr="00913B4A" w:rsidRDefault="008B302C" w:rsidP="00913B4A">
      <w:pPr>
        <w:pStyle w:val="FootnoteText"/>
        <w:spacing w:after="0"/>
        <w:rPr>
          <w:rFonts w:ascii="Times New Roman" w:hAnsi="Times New Roman" w:cs="Times New Roman"/>
          <w:sz w:val="20"/>
          <w:szCs w:val="20"/>
          <w:lang w:val="en-IN"/>
        </w:rPr>
      </w:pPr>
      <w:r>
        <w:rPr>
          <w:rStyle w:val="FootnoteReference"/>
        </w:rPr>
        <w:footnoteRef/>
      </w:r>
      <w:r>
        <w:t xml:space="preserve"> </w:t>
      </w:r>
      <w:r w:rsidRPr="00913B4A">
        <w:rPr>
          <w:rFonts w:ascii="Times New Roman" w:hAnsi="Times New Roman" w:cs="Times New Roman"/>
          <w:sz w:val="20"/>
          <w:szCs w:val="20"/>
        </w:rPr>
        <w:t>Budhadev Karmaskar v. State of West Bengal, (2011) 11 SCC 538</w:t>
      </w:r>
    </w:p>
  </w:footnote>
  <w:footnote w:id="13">
    <w:p w14:paraId="1AC410D2" w14:textId="77777777" w:rsidR="008B302C" w:rsidRPr="00913B4A" w:rsidRDefault="008B302C" w:rsidP="00913B4A">
      <w:pPr>
        <w:pStyle w:val="FootnoteText"/>
        <w:spacing w:after="0"/>
        <w:rPr>
          <w:rFonts w:ascii="Times New Roman" w:hAnsi="Times New Roman" w:cs="Times New Roman"/>
          <w:sz w:val="20"/>
          <w:szCs w:val="20"/>
        </w:rPr>
      </w:pPr>
      <w:r w:rsidRPr="00913B4A">
        <w:rPr>
          <w:rStyle w:val="FootnoteReference"/>
          <w:rFonts w:ascii="Times New Roman" w:hAnsi="Times New Roman" w:cs="Times New Roman"/>
          <w:sz w:val="20"/>
          <w:szCs w:val="20"/>
        </w:rPr>
        <w:footnoteRef/>
      </w:r>
      <w:r w:rsidRPr="00913B4A">
        <w:rPr>
          <w:rFonts w:ascii="Times New Roman" w:hAnsi="Times New Roman" w:cs="Times New Roman"/>
          <w:sz w:val="20"/>
          <w:szCs w:val="20"/>
        </w:rPr>
        <w:t xml:space="preserve"> Budhadev Karmaskar v. State of West Bengal, Order dated 14.02.2011.</w:t>
      </w:r>
    </w:p>
  </w:footnote>
  <w:footnote w:id="14">
    <w:p w14:paraId="7E279B67" w14:textId="77777777" w:rsidR="008B302C" w:rsidRPr="00913B4A" w:rsidRDefault="008B302C" w:rsidP="00913B4A">
      <w:pPr>
        <w:pStyle w:val="FootnoteText"/>
        <w:spacing w:after="0"/>
        <w:rPr>
          <w:rFonts w:ascii="Times New Roman" w:hAnsi="Times New Roman" w:cs="Times New Roman"/>
          <w:sz w:val="20"/>
          <w:szCs w:val="20"/>
        </w:rPr>
      </w:pPr>
      <w:r w:rsidRPr="00913B4A">
        <w:rPr>
          <w:rStyle w:val="FootnoteReference"/>
          <w:rFonts w:ascii="Times New Roman" w:hAnsi="Times New Roman" w:cs="Times New Roman"/>
          <w:sz w:val="20"/>
          <w:szCs w:val="20"/>
        </w:rPr>
        <w:footnoteRef/>
      </w:r>
      <w:r w:rsidRPr="00913B4A">
        <w:rPr>
          <w:rFonts w:ascii="Times New Roman" w:hAnsi="Times New Roman" w:cs="Times New Roman"/>
          <w:sz w:val="20"/>
          <w:szCs w:val="20"/>
        </w:rPr>
        <w:t xml:space="preserve"> Supreme Court of India, “Final Report of Panel on Sex Workers,” Order in Budhadev Karmaskar v. State of West Bengal, May 19, 2022.</w:t>
      </w:r>
    </w:p>
  </w:footnote>
  <w:footnote w:id="15">
    <w:p w14:paraId="1CCB27E4" w14:textId="77777777" w:rsidR="008B302C" w:rsidRPr="00913B4A" w:rsidRDefault="008B302C" w:rsidP="00913B4A">
      <w:pPr>
        <w:pStyle w:val="FootnoteText"/>
        <w:spacing w:after="0"/>
        <w:rPr>
          <w:rFonts w:ascii="Times New Roman" w:hAnsi="Times New Roman" w:cs="Times New Roman"/>
          <w:sz w:val="20"/>
          <w:szCs w:val="20"/>
        </w:rPr>
      </w:pPr>
      <w:r w:rsidRPr="00913B4A">
        <w:rPr>
          <w:rStyle w:val="FootnoteReference"/>
          <w:rFonts w:ascii="Times New Roman" w:hAnsi="Times New Roman" w:cs="Times New Roman"/>
          <w:sz w:val="20"/>
          <w:szCs w:val="20"/>
        </w:rPr>
        <w:footnoteRef/>
      </w:r>
      <w:r w:rsidRPr="00913B4A">
        <w:rPr>
          <w:rFonts w:ascii="Times New Roman" w:hAnsi="Times New Roman" w:cs="Times New Roman"/>
          <w:sz w:val="20"/>
          <w:szCs w:val="20"/>
        </w:rPr>
        <w:t xml:space="preserve"> Durbar Mahila </w:t>
      </w:r>
      <w:proofErr w:type="spellStart"/>
      <w:r w:rsidRPr="00913B4A">
        <w:rPr>
          <w:rFonts w:ascii="Times New Roman" w:hAnsi="Times New Roman" w:cs="Times New Roman"/>
          <w:sz w:val="20"/>
          <w:szCs w:val="20"/>
        </w:rPr>
        <w:t>Samanwaya</w:t>
      </w:r>
      <w:proofErr w:type="spellEnd"/>
      <w:r w:rsidRPr="00913B4A">
        <w:rPr>
          <w:rFonts w:ascii="Times New Roman" w:hAnsi="Times New Roman" w:cs="Times New Roman"/>
          <w:sz w:val="20"/>
          <w:szCs w:val="20"/>
        </w:rPr>
        <w:t xml:space="preserve"> Committee v. State of West Bengal, WP No. 22224(W) of 2010.</w:t>
      </w:r>
    </w:p>
  </w:footnote>
  <w:footnote w:id="16">
    <w:p w14:paraId="40D4A3D9"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Justice K.S. </w:t>
      </w:r>
      <w:proofErr w:type="spellStart"/>
      <w:r w:rsidRPr="00CF0F8E">
        <w:rPr>
          <w:rFonts w:ascii="Times New Roman" w:hAnsi="Times New Roman" w:cs="Times New Roman"/>
          <w:sz w:val="20"/>
          <w:szCs w:val="20"/>
        </w:rPr>
        <w:t>Puttaswamy</w:t>
      </w:r>
      <w:proofErr w:type="spellEnd"/>
      <w:r w:rsidRPr="00CF0F8E">
        <w:rPr>
          <w:rFonts w:ascii="Times New Roman" w:hAnsi="Times New Roman" w:cs="Times New Roman"/>
          <w:sz w:val="20"/>
          <w:szCs w:val="20"/>
        </w:rPr>
        <w:t xml:space="preserve"> v. Union of India, (2017) 10 SCC 1.</w:t>
      </w:r>
    </w:p>
  </w:footnote>
  <w:footnote w:id="17">
    <w:p w14:paraId="389E82DD"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Navtej Singh Johar v. Union of India, (2018) 10 SCC 1.</w:t>
      </w:r>
    </w:p>
  </w:footnote>
  <w:footnote w:id="18">
    <w:p w14:paraId="340F399E"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National Legal Services Authority v. Union of India, (2014) 5 SCC 438.</w:t>
      </w:r>
    </w:p>
  </w:footnote>
  <w:footnote w:id="19">
    <w:p w14:paraId="67ECB35A"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Sahni, Rohini and V. Kalyan Shankar, “The First Pan-India Survey of Sex Workers: A Summary of Preliminary Findings” (Center for Advocacy on Stigma and Marginalization, 2011), 38-42.</w:t>
      </w:r>
    </w:p>
  </w:footnote>
  <w:footnote w:id="20">
    <w:p w14:paraId="7EA97CB3"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Ramanathan, Usha, et al., “Raids, Rescue, and Rehabilitation: Sex Workers Speak Out Against Project Combat” (Lawyers Collective, 2018), 25-33.</w:t>
      </w:r>
    </w:p>
  </w:footnote>
  <w:footnote w:id="21">
    <w:p w14:paraId="4721ECA4"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Sex Workers’ Rights Advocacy Network, “Arrest the Violence: Human Rights Violations Against Sex Workers in Central and Eastern Europe and Central Asia” (SWAN, 2009), 56-64.</w:t>
      </w:r>
    </w:p>
  </w:footnote>
  <w:footnote w:id="22">
    <w:p w14:paraId="7B80351A"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w:t>
      </w:r>
      <w:proofErr w:type="spellStart"/>
      <w:r w:rsidRPr="00CF0F8E">
        <w:rPr>
          <w:rFonts w:ascii="Times New Roman" w:hAnsi="Times New Roman" w:cs="Times New Roman"/>
          <w:sz w:val="20"/>
          <w:szCs w:val="20"/>
        </w:rPr>
        <w:t>Kotiswaran</w:t>
      </w:r>
      <w:proofErr w:type="spellEnd"/>
      <w:r w:rsidRPr="00CF0F8E">
        <w:rPr>
          <w:rFonts w:ascii="Times New Roman" w:hAnsi="Times New Roman" w:cs="Times New Roman"/>
          <w:sz w:val="20"/>
          <w:szCs w:val="20"/>
        </w:rPr>
        <w:t>, Prabha, “Dangerous Sex, Invisible Labor: Sex Work and the Law in India” (Princeton University Press, 2011), 158-170.</w:t>
      </w:r>
    </w:p>
  </w:footnote>
  <w:footnote w:id="23">
    <w:p w14:paraId="00822B5F"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National AIDS Control </w:t>
      </w:r>
      <w:proofErr w:type="spellStart"/>
      <w:r w:rsidRPr="00CF0F8E">
        <w:rPr>
          <w:rFonts w:ascii="Times New Roman" w:hAnsi="Times New Roman" w:cs="Times New Roman"/>
          <w:sz w:val="20"/>
          <w:szCs w:val="20"/>
        </w:rPr>
        <w:t>Organisation</w:t>
      </w:r>
      <w:proofErr w:type="spellEnd"/>
      <w:r w:rsidRPr="00CF0F8E">
        <w:rPr>
          <w:rFonts w:ascii="Times New Roman" w:hAnsi="Times New Roman" w:cs="Times New Roman"/>
          <w:sz w:val="20"/>
          <w:szCs w:val="20"/>
        </w:rPr>
        <w:t xml:space="preserve">, “Targeted Interventions for </w:t>
      </w:r>
      <w:proofErr w:type="gramStart"/>
      <w:r w:rsidRPr="00CF0F8E">
        <w:rPr>
          <w:rFonts w:ascii="Times New Roman" w:hAnsi="Times New Roman" w:cs="Times New Roman"/>
          <w:sz w:val="20"/>
          <w:szCs w:val="20"/>
        </w:rPr>
        <w:t>High Risk</w:t>
      </w:r>
      <w:proofErr w:type="gramEnd"/>
      <w:r w:rsidRPr="00CF0F8E">
        <w:rPr>
          <w:rFonts w:ascii="Times New Roman" w:hAnsi="Times New Roman" w:cs="Times New Roman"/>
          <w:sz w:val="20"/>
          <w:szCs w:val="20"/>
        </w:rPr>
        <w:t xml:space="preserve"> Groups (HRGs): Operational Guidelines” (Ministry of Health and Family Welfare, Government of India, 2016), 78-85.</w:t>
      </w:r>
    </w:p>
  </w:footnote>
  <w:footnote w:id="24">
    <w:p w14:paraId="1CC697FB"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Lazarus, Lisa, et al., “Barriers to Healthcare Access Among Female Sex Workers in India: A Qualitative Study,” AIDS Care 24, no. 6 (2012): 732-744.</w:t>
      </w:r>
    </w:p>
  </w:footnote>
  <w:footnote w:id="25">
    <w:p w14:paraId="09C14211"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International Covenant on Economic, Social and Cultural Rights, Article 12.</w:t>
      </w:r>
    </w:p>
  </w:footnote>
  <w:footnote w:id="26">
    <w:p w14:paraId="561048E6"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w:t>
      </w:r>
      <w:proofErr w:type="spellStart"/>
      <w:r w:rsidRPr="00CF0F8E">
        <w:rPr>
          <w:rFonts w:ascii="Times New Roman" w:hAnsi="Times New Roman" w:cs="Times New Roman"/>
          <w:sz w:val="20"/>
          <w:szCs w:val="20"/>
        </w:rPr>
        <w:t>Dandona</w:t>
      </w:r>
      <w:proofErr w:type="spellEnd"/>
      <w:r w:rsidRPr="00CF0F8E">
        <w:rPr>
          <w:rFonts w:ascii="Times New Roman" w:hAnsi="Times New Roman" w:cs="Times New Roman"/>
          <w:sz w:val="20"/>
          <w:szCs w:val="20"/>
        </w:rPr>
        <w:t>, Lalit, et al., “HIV Prevention Programmes for Female Sex Workers in Andhra Pradesh, India: Outputs, Cost and Efficiency,” BMC Public Health 5, no. 98 (2005): 1-12.</w:t>
      </w:r>
    </w:p>
  </w:footnote>
  <w:footnote w:id="27">
    <w:p w14:paraId="49C98306"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Lucy F. v. State of Kerala, 2016 SCC </w:t>
      </w:r>
      <w:proofErr w:type="spellStart"/>
      <w:r w:rsidRPr="00CF0F8E">
        <w:rPr>
          <w:rFonts w:ascii="Times New Roman" w:hAnsi="Times New Roman" w:cs="Times New Roman"/>
          <w:sz w:val="20"/>
          <w:szCs w:val="20"/>
        </w:rPr>
        <w:t>OnLine</w:t>
      </w:r>
      <w:proofErr w:type="spellEnd"/>
      <w:r w:rsidRPr="00CF0F8E">
        <w:rPr>
          <w:rFonts w:ascii="Times New Roman" w:hAnsi="Times New Roman" w:cs="Times New Roman"/>
          <w:sz w:val="20"/>
          <w:szCs w:val="20"/>
        </w:rPr>
        <w:t xml:space="preserve"> Ker 487.</w:t>
      </w:r>
    </w:p>
  </w:footnote>
  <w:footnote w:id="28">
    <w:p w14:paraId="52B448B5"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Wahed, Tasnuva, et al., “Knowledge of, Attitudes Toward, and Barriers to the Practice of Emergency Contraception Among Sex Workers in Two Cities of Northern India,” International Journal of Gynecology &amp; Obstetrics 117, no. 3 (2012): 254-257.</w:t>
      </w:r>
    </w:p>
  </w:footnote>
  <w:footnote w:id="29">
    <w:p w14:paraId="69562530"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National Network of Sex Workers, “Housing Rights of Sex Workers: A Study Across Four States in India” (NNSW, 2017), 15-28.</w:t>
      </w:r>
    </w:p>
  </w:footnote>
  <w:footnote w:id="30">
    <w:p w14:paraId="28DD8FAF"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Chameli Singh v. State of Uttar Pradesh, (1996) 2 SCC 549.</w:t>
      </w:r>
    </w:p>
  </w:footnote>
  <w:footnote w:id="31">
    <w:p w14:paraId="56DDFFF8"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Pai, Aarthi, et al., “Banking on the Unbanked: Financial Inclusion for Sex Workers,” Economic and Political Weekly 53, no. 52 (2018): 33-39.</w:t>
      </w:r>
    </w:p>
  </w:footnote>
  <w:footnote w:id="32">
    <w:p w14:paraId="1DB1AD4E"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Seshu, Meena, “Whose Problem Is It Anyway? Incidents of Police Violence Against Sex Workers” (Sangram, 2013), 47-56.</w:t>
      </w:r>
    </w:p>
  </w:footnote>
  <w:footnote w:id="33">
    <w:p w14:paraId="44524581"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Sircar, </w:t>
      </w:r>
      <w:proofErr w:type="spellStart"/>
      <w:r w:rsidRPr="00CF0F8E">
        <w:rPr>
          <w:rFonts w:ascii="Times New Roman" w:hAnsi="Times New Roman" w:cs="Times New Roman"/>
          <w:sz w:val="20"/>
          <w:szCs w:val="20"/>
        </w:rPr>
        <w:t>Oishik</w:t>
      </w:r>
      <w:proofErr w:type="spellEnd"/>
      <w:r w:rsidRPr="00CF0F8E">
        <w:rPr>
          <w:rFonts w:ascii="Times New Roman" w:hAnsi="Times New Roman" w:cs="Times New Roman"/>
          <w:sz w:val="20"/>
          <w:szCs w:val="20"/>
        </w:rPr>
        <w:t xml:space="preserve"> and Debolina Dutta, “Beyond Compassion: Children of Sex Workers in Kolkata’s Sonagachi,” Childhood 18, no. 3 (2011): 333-349.</w:t>
      </w:r>
    </w:p>
  </w:footnote>
  <w:footnote w:id="34">
    <w:p w14:paraId="23413A3C"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Right of Children to Free and Compulsory Education Act, 2009, No. 35, Acts of Parliament, 2009 (India).</w:t>
      </w:r>
    </w:p>
  </w:footnote>
  <w:footnote w:id="35">
    <w:p w14:paraId="1863D782"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All India Network of Sex Workers, “Rapid Assessment of the Impact of COVID-19 on Sex Workers in India” (AINSW, 2020), 8-15.</w:t>
      </w:r>
    </w:p>
  </w:footnote>
  <w:footnote w:id="36">
    <w:p w14:paraId="494F432F"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Ghosh, Swati, “Professional Apartheid: The Racialization of Sex Work in India,” Women’s Studies Quarterly 42, no. 3-4 (2014): 203-217.</w:t>
      </w:r>
    </w:p>
  </w:footnote>
  <w:footnote w:id="37">
    <w:p w14:paraId="00D13B51"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Jana, Smarajit, et al., “A Tale of Two Cities: Shifting the Paradigm of Anti-Trafficking Programmes,” Gender &amp; Development 22, no. 1 (2014): 227-244.</w:t>
      </w:r>
    </w:p>
  </w:footnote>
  <w:footnote w:id="38">
    <w:p w14:paraId="75DD52B6"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Cornish, Flora and Riddhi Ghosh, “The Necessary Contradictions of ‘Community-Led’ Health Promotion: A Case Study of HIV Prevention in an Indian </w:t>
      </w:r>
      <w:proofErr w:type="gramStart"/>
      <w:r w:rsidRPr="00CF0F8E">
        <w:rPr>
          <w:rFonts w:ascii="Times New Roman" w:hAnsi="Times New Roman" w:cs="Times New Roman"/>
          <w:sz w:val="20"/>
          <w:szCs w:val="20"/>
        </w:rPr>
        <w:t>Red Light</w:t>
      </w:r>
      <w:proofErr w:type="gramEnd"/>
      <w:r w:rsidRPr="00CF0F8E">
        <w:rPr>
          <w:rFonts w:ascii="Times New Roman" w:hAnsi="Times New Roman" w:cs="Times New Roman"/>
          <w:sz w:val="20"/>
          <w:szCs w:val="20"/>
        </w:rPr>
        <w:t xml:space="preserve"> District,” Social Science &amp; Medicine 64, no. 2 (2007): 496-507.</w:t>
      </w:r>
    </w:p>
  </w:footnote>
  <w:footnote w:id="39">
    <w:p w14:paraId="46BB0A7A"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w:t>
      </w:r>
      <w:proofErr w:type="spellStart"/>
      <w:r w:rsidRPr="00CF0F8E">
        <w:rPr>
          <w:rFonts w:ascii="Times New Roman" w:hAnsi="Times New Roman" w:cs="Times New Roman"/>
          <w:sz w:val="20"/>
          <w:szCs w:val="20"/>
        </w:rPr>
        <w:t>Kotiswaran</w:t>
      </w:r>
      <w:proofErr w:type="spellEnd"/>
      <w:r w:rsidRPr="00CF0F8E">
        <w:rPr>
          <w:rFonts w:ascii="Times New Roman" w:hAnsi="Times New Roman" w:cs="Times New Roman"/>
          <w:sz w:val="20"/>
          <w:szCs w:val="20"/>
        </w:rPr>
        <w:t xml:space="preserve">, Prabha, “Born </w:t>
      </w:r>
      <w:proofErr w:type="gramStart"/>
      <w:r w:rsidRPr="00CF0F8E">
        <w:rPr>
          <w:rFonts w:ascii="Times New Roman" w:hAnsi="Times New Roman" w:cs="Times New Roman"/>
          <w:sz w:val="20"/>
          <w:szCs w:val="20"/>
        </w:rPr>
        <w:t>Unto</w:t>
      </w:r>
      <w:proofErr w:type="gramEnd"/>
      <w:r w:rsidRPr="00CF0F8E">
        <w:rPr>
          <w:rFonts w:ascii="Times New Roman" w:hAnsi="Times New Roman" w:cs="Times New Roman"/>
          <w:sz w:val="20"/>
          <w:szCs w:val="20"/>
        </w:rPr>
        <w:t xml:space="preserve"> Brothels: Toward a Legal Ethnography of Sex Work in an Indian Red-Light Area,” Law &amp; Social Inquiry 33, no. 3 (2008): 579-629.</w:t>
      </w:r>
    </w:p>
  </w:footnote>
  <w:footnote w:id="40">
    <w:p w14:paraId="108DC12A"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Pai, Aarthi, et al., “Mapping Caste, Class and Gender: Experiences of Sex Workers in </w:t>
      </w:r>
      <w:proofErr w:type="spellStart"/>
      <w:r w:rsidRPr="00CF0F8E">
        <w:rPr>
          <w:rFonts w:ascii="Times New Roman" w:hAnsi="Times New Roman" w:cs="Times New Roman"/>
          <w:sz w:val="20"/>
          <w:szCs w:val="20"/>
        </w:rPr>
        <w:t>Sangli</w:t>
      </w:r>
      <w:proofErr w:type="spellEnd"/>
      <w:r w:rsidRPr="00CF0F8E">
        <w:rPr>
          <w:rFonts w:ascii="Times New Roman" w:hAnsi="Times New Roman" w:cs="Times New Roman"/>
          <w:sz w:val="20"/>
          <w:szCs w:val="20"/>
        </w:rPr>
        <w:t xml:space="preserve"> District, Maharashtra,” Economic and Political Weekly 52, no. 28 (2017): 121-128.</w:t>
      </w:r>
    </w:p>
  </w:footnote>
  <w:footnote w:id="41">
    <w:p w14:paraId="29382FBE"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Chakrapani, Venkatesan, et al., “Structural Violence Against Kothi-identified Men Who Have Sex with Men in Chennai, India: A Qualitative Investigation,” AIDS Education and Prevention 19, no. 4 (2007): 346-364.</w:t>
      </w:r>
    </w:p>
  </w:footnote>
  <w:footnote w:id="42">
    <w:p w14:paraId="6B8C4A70"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Shah, </w:t>
      </w:r>
      <w:proofErr w:type="spellStart"/>
      <w:r w:rsidRPr="00CF0F8E">
        <w:rPr>
          <w:rFonts w:ascii="Times New Roman" w:hAnsi="Times New Roman" w:cs="Times New Roman"/>
          <w:sz w:val="20"/>
          <w:szCs w:val="20"/>
        </w:rPr>
        <w:t>Svati</w:t>
      </w:r>
      <w:proofErr w:type="spellEnd"/>
      <w:r w:rsidRPr="00CF0F8E">
        <w:rPr>
          <w:rFonts w:ascii="Times New Roman" w:hAnsi="Times New Roman" w:cs="Times New Roman"/>
          <w:sz w:val="20"/>
          <w:szCs w:val="20"/>
        </w:rPr>
        <w:t xml:space="preserve"> P., “Sex Work and Queer Politics in Three Acts,” Scholar &amp; Feminist Online 10, no. 1-2 (2011/2012).</w:t>
      </w:r>
    </w:p>
  </w:footnote>
  <w:footnote w:id="43">
    <w:p w14:paraId="0010904B"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D’Cunha, Jean, “Prostitution Laws: Ideological Dimensions and Enforcement Practices,” Economic and Political Weekly 27, no. 17 (1992): WS34-WS44.</w:t>
      </w:r>
    </w:p>
  </w:footnote>
  <w:footnote w:id="44">
    <w:p w14:paraId="167C4C6A"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Supreme Court of India, Budhadev Karmaskar v. State of West Bengal, (2011) 11 SCC 538, recognizing sex workers’ right to dignity and livelihood.</w:t>
      </w:r>
    </w:p>
  </w:footnote>
  <w:footnote w:id="45">
    <w:p w14:paraId="398C36B5"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Sahni, R., &amp; Shankar, V. K. (2016). The State of Sex Workers and Sex Work in India. In Sex Work (pp. 22-44). Oxford University Press.</w:t>
      </w:r>
    </w:p>
  </w:footnote>
  <w:footnote w:id="46">
    <w:p w14:paraId="531B87BA"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w:t>
      </w:r>
      <w:proofErr w:type="spellStart"/>
      <w:r w:rsidRPr="00CF0F8E">
        <w:rPr>
          <w:rFonts w:ascii="Times New Roman" w:hAnsi="Times New Roman" w:cs="Times New Roman"/>
          <w:sz w:val="20"/>
          <w:szCs w:val="20"/>
        </w:rPr>
        <w:t>Kotiswaran</w:t>
      </w:r>
      <w:proofErr w:type="spellEnd"/>
      <w:r w:rsidRPr="00CF0F8E">
        <w:rPr>
          <w:rFonts w:ascii="Times New Roman" w:hAnsi="Times New Roman" w:cs="Times New Roman"/>
          <w:sz w:val="20"/>
          <w:szCs w:val="20"/>
        </w:rPr>
        <w:t>, P. (2021). “Beyond Sexual Humanitarianism: A Postcolonial Approach to Anti-Trafficking Law.” University of California Law Review, 67(2), 331-354.</w:t>
      </w:r>
    </w:p>
  </w:footnote>
  <w:footnote w:id="47">
    <w:p w14:paraId="6232C741"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National Network of Sex Workers. (2022). Human Rights Violations of Sex Workers in India: A Community-Based Report. NNSW Publications.</w:t>
      </w:r>
    </w:p>
  </w:footnote>
  <w:footnote w:id="48">
    <w:p w14:paraId="5112FCE7"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Misra, G., &amp; </w:t>
      </w:r>
      <w:proofErr w:type="spellStart"/>
      <w:r w:rsidRPr="00CF0F8E">
        <w:rPr>
          <w:rFonts w:ascii="Times New Roman" w:hAnsi="Times New Roman" w:cs="Times New Roman"/>
          <w:sz w:val="20"/>
          <w:szCs w:val="20"/>
        </w:rPr>
        <w:t>Mahanty</w:t>
      </w:r>
      <w:proofErr w:type="spellEnd"/>
      <w:r w:rsidRPr="00CF0F8E">
        <w:rPr>
          <w:rFonts w:ascii="Times New Roman" w:hAnsi="Times New Roman" w:cs="Times New Roman"/>
          <w:sz w:val="20"/>
          <w:szCs w:val="20"/>
        </w:rPr>
        <w:t>, L. (2023). “Regulatory Ambiguities and Their Impacts on Health and Rights of Sex Workers in India.” Health and Human Rights Journal, 25(1), 78-92.</w:t>
      </w:r>
    </w:p>
  </w:footnote>
  <w:footnote w:id="49">
    <w:p w14:paraId="607D0029"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Seshu, M., &amp; Pai, A. (2019). “Sex Work as Work: The Right to Livelihood Perspective.” In Economies of Desire: Gender and Sex Work in India (pp. 124-146). Routledge.</w:t>
      </w:r>
    </w:p>
  </w:footnote>
  <w:footnote w:id="50">
    <w:p w14:paraId="367C015B"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Amnesty International. (2022). Policy on State Obligations to Respect, Protect, and Fulfill the Human Rights of Sex Workers. Amnesty International Publications.</w:t>
      </w:r>
    </w:p>
  </w:footnote>
  <w:footnote w:id="51">
    <w:p w14:paraId="4E4CDF71"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Dey, S., &amp; Ray, N. (2021). “Navigating Agency and Protection: Sex Workers’ Experiences with Anti-Trafficking Interventions in Mumbai.” Journal of Human Trafficking Studies, 9(3), 217-235.</w:t>
      </w:r>
    </w:p>
  </w:footnote>
  <w:footnote w:id="52">
    <w:p w14:paraId="7624D4A7"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UNDP, UNFPA &amp; UNAIDS. (2022). Sex Work and the Law in Asia and the Pacific. United Nations Development Programme Report.</w:t>
      </w:r>
    </w:p>
  </w:footnote>
  <w:footnote w:id="53">
    <w:p w14:paraId="7DFF0C5E" w14:textId="77777777" w:rsidR="00FA35A8" w:rsidRPr="00CF0F8E" w:rsidRDefault="00FA35A8" w:rsidP="00913B4A">
      <w:pPr>
        <w:pStyle w:val="FootnoteText"/>
        <w:spacing w:after="0"/>
        <w:rPr>
          <w:rFonts w:ascii="Times New Roman" w:hAnsi="Times New Roman" w:cs="Times New Roman"/>
          <w:sz w:val="20"/>
          <w:szCs w:val="20"/>
        </w:rPr>
      </w:pPr>
      <w:r w:rsidRPr="00CF0F8E">
        <w:rPr>
          <w:rStyle w:val="FootnoteReference"/>
          <w:rFonts w:ascii="Times New Roman" w:hAnsi="Times New Roman" w:cs="Times New Roman"/>
          <w:sz w:val="20"/>
          <w:szCs w:val="20"/>
        </w:rPr>
        <w:footnoteRef/>
      </w:r>
      <w:r w:rsidRPr="00CF0F8E">
        <w:rPr>
          <w:rFonts w:ascii="Times New Roman" w:hAnsi="Times New Roman" w:cs="Times New Roman"/>
          <w:sz w:val="20"/>
          <w:szCs w:val="20"/>
        </w:rPr>
        <w:t xml:space="preserve"> </w:t>
      </w:r>
      <w:proofErr w:type="spellStart"/>
      <w:r w:rsidRPr="00CF0F8E">
        <w:rPr>
          <w:rFonts w:ascii="Times New Roman" w:hAnsi="Times New Roman" w:cs="Times New Roman"/>
          <w:sz w:val="20"/>
          <w:szCs w:val="20"/>
        </w:rPr>
        <w:t>Gangoli</w:t>
      </w:r>
      <w:proofErr w:type="spellEnd"/>
      <w:r w:rsidRPr="00CF0F8E">
        <w:rPr>
          <w:rFonts w:ascii="Times New Roman" w:hAnsi="Times New Roman" w:cs="Times New Roman"/>
          <w:sz w:val="20"/>
          <w:szCs w:val="20"/>
        </w:rPr>
        <w:t xml:space="preserve">, G., &amp; </w:t>
      </w:r>
      <w:proofErr w:type="spellStart"/>
      <w:r w:rsidRPr="00CF0F8E">
        <w:rPr>
          <w:rFonts w:ascii="Times New Roman" w:hAnsi="Times New Roman" w:cs="Times New Roman"/>
          <w:sz w:val="20"/>
          <w:szCs w:val="20"/>
        </w:rPr>
        <w:t>Westmarland</w:t>
      </w:r>
      <w:proofErr w:type="spellEnd"/>
      <w:r w:rsidRPr="00CF0F8E">
        <w:rPr>
          <w:rFonts w:ascii="Times New Roman" w:hAnsi="Times New Roman" w:cs="Times New Roman"/>
          <w:sz w:val="20"/>
          <w:szCs w:val="20"/>
        </w:rPr>
        <w:t>, N. (2021). International Approaches to Prostitution: Law and Policy in Europe, North America, and Asia. Routledge.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7445A"/>
    <w:multiLevelType w:val="hybridMultilevel"/>
    <w:tmpl w:val="80D27FF6"/>
    <w:lvl w:ilvl="0" w:tplc="5ACE0A90">
      <w:start w:val="1"/>
      <w:numFmt w:val="upperRoman"/>
      <w:lvlText w:val="%1."/>
      <w:lvlJc w:val="left"/>
      <w:pPr>
        <w:ind w:left="1080" w:hanging="720"/>
      </w:pPr>
      <w:rPr>
        <w:rFonts w:asciiTheme="minorHAnsi" w:hAnsiTheme="minorHAnsi" w:cstheme="minorBid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56F6900"/>
    <w:multiLevelType w:val="hybridMultilevel"/>
    <w:tmpl w:val="67302B48"/>
    <w:lvl w:ilvl="0" w:tplc="2070EEC4">
      <w:start w:val="1"/>
      <w:numFmt w:val="decimal"/>
      <w:lvlText w:val="%1."/>
      <w:lvlJc w:val="left"/>
      <w:pPr>
        <w:ind w:left="720" w:hanging="360"/>
      </w:pPr>
      <w:rPr>
        <w:rFonts w:asciiTheme="minorHAnsi" w:hAnsiTheme="minorHAnsi" w:cstheme="minorBid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2280042"/>
    <w:multiLevelType w:val="hybridMultilevel"/>
    <w:tmpl w:val="8E443B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5FC400C"/>
    <w:multiLevelType w:val="hybridMultilevel"/>
    <w:tmpl w:val="0EC879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D9B71DF"/>
    <w:multiLevelType w:val="hybridMultilevel"/>
    <w:tmpl w:val="7CA4297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F274698"/>
    <w:multiLevelType w:val="hybridMultilevel"/>
    <w:tmpl w:val="080ABEF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76022564">
    <w:abstractNumId w:val="1"/>
  </w:num>
  <w:num w:numId="2" w16cid:durableId="290290989">
    <w:abstractNumId w:val="3"/>
  </w:num>
  <w:num w:numId="3" w16cid:durableId="230241483">
    <w:abstractNumId w:val="4"/>
  </w:num>
  <w:num w:numId="4" w16cid:durableId="1583488505">
    <w:abstractNumId w:val="5"/>
  </w:num>
  <w:num w:numId="5" w16cid:durableId="2100170516">
    <w:abstractNumId w:val="0"/>
  </w:num>
  <w:num w:numId="6" w16cid:durableId="558593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561C"/>
    <w:rsid w:val="00041242"/>
    <w:rsid w:val="000770EF"/>
    <w:rsid w:val="002F677D"/>
    <w:rsid w:val="004204A3"/>
    <w:rsid w:val="00457797"/>
    <w:rsid w:val="00515588"/>
    <w:rsid w:val="00603E54"/>
    <w:rsid w:val="00610AC5"/>
    <w:rsid w:val="006136DB"/>
    <w:rsid w:val="006E02F8"/>
    <w:rsid w:val="0079101F"/>
    <w:rsid w:val="007944AA"/>
    <w:rsid w:val="0084539B"/>
    <w:rsid w:val="008B302C"/>
    <w:rsid w:val="008D3493"/>
    <w:rsid w:val="00913B4A"/>
    <w:rsid w:val="00A01F9B"/>
    <w:rsid w:val="00B33DF6"/>
    <w:rsid w:val="00B76F0E"/>
    <w:rsid w:val="00C3561C"/>
    <w:rsid w:val="00CC7E37"/>
    <w:rsid w:val="00D00EF9"/>
    <w:rsid w:val="00D14FA0"/>
    <w:rsid w:val="00D25323"/>
    <w:rsid w:val="00DA7DC3"/>
    <w:rsid w:val="00DF252E"/>
    <w:rsid w:val="00F54309"/>
    <w:rsid w:val="00FA35A8"/>
    <w:rsid w:val="00FA3BBE"/>
    <w:rsid w:val="00FB71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75011"/>
  <w15:chartTrackingRefBased/>
  <w15:docId w15:val="{D96C747B-B9A8-44FA-BACC-A185200D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61C"/>
    <w:pPr>
      <w:spacing w:after="200" w:line="240" w:lineRule="auto"/>
    </w:pPr>
    <w:rPr>
      <w:kern w:val="0"/>
      <w:sz w:val="24"/>
      <w:szCs w:val="24"/>
      <w:lang w:val="en-US"/>
      <w14:ligatures w14:val="none"/>
    </w:rPr>
  </w:style>
  <w:style w:type="paragraph" w:styleId="Heading1">
    <w:name w:val="heading 1"/>
    <w:basedOn w:val="Normal"/>
    <w:next w:val="Normal"/>
    <w:link w:val="Heading1Char"/>
    <w:uiPriority w:val="9"/>
    <w:qFormat/>
    <w:rsid w:val="00C356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56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56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56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56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56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56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56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56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6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56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56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56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56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5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61C"/>
    <w:rPr>
      <w:rFonts w:eastAsiaTheme="majorEastAsia" w:cstheme="majorBidi"/>
      <w:color w:val="272727" w:themeColor="text1" w:themeTint="D8"/>
    </w:rPr>
  </w:style>
  <w:style w:type="paragraph" w:styleId="Title">
    <w:name w:val="Title"/>
    <w:basedOn w:val="Normal"/>
    <w:next w:val="Normal"/>
    <w:link w:val="TitleChar"/>
    <w:uiPriority w:val="10"/>
    <w:qFormat/>
    <w:rsid w:val="00C356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6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56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61C"/>
    <w:pPr>
      <w:spacing w:before="160"/>
      <w:jc w:val="center"/>
    </w:pPr>
    <w:rPr>
      <w:i/>
      <w:iCs/>
      <w:color w:val="404040" w:themeColor="text1" w:themeTint="BF"/>
    </w:rPr>
  </w:style>
  <w:style w:type="character" w:customStyle="1" w:styleId="QuoteChar">
    <w:name w:val="Quote Char"/>
    <w:basedOn w:val="DefaultParagraphFont"/>
    <w:link w:val="Quote"/>
    <w:uiPriority w:val="29"/>
    <w:rsid w:val="00C3561C"/>
    <w:rPr>
      <w:i/>
      <w:iCs/>
      <w:color w:val="404040" w:themeColor="text1" w:themeTint="BF"/>
    </w:rPr>
  </w:style>
  <w:style w:type="paragraph" w:styleId="ListParagraph">
    <w:name w:val="List Paragraph"/>
    <w:basedOn w:val="Normal"/>
    <w:uiPriority w:val="34"/>
    <w:qFormat/>
    <w:rsid w:val="00C3561C"/>
    <w:pPr>
      <w:ind w:left="720"/>
      <w:contextualSpacing/>
    </w:pPr>
  </w:style>
  <w:style w:type="character" w:styleId="IntenseEmphasis">
    <w:name w:val="Intense Emphasis"/>
    <w:basedOn w:val="DefaultParagraphFont"/>
    <w:uiPriority w:val="21"/>
    <w:qFormat/>
    <w:rsid w:val="00C3561C"/>
    <w:rPr>
      <w:i/>
      <w:iCs/>
      <w:color w:val="2F5496" w:themeColor="accent1" w:themeShade="BF"/>
    </w:rPr>
  </w:style>
  <w:style w:type="paragraph" w:styleId="IntenseQuote">
    <w:name w:val="Intense Quote"/>
    <w:basedOn w:val="Normal"/>
    <w:next w:val="Normal"/>
    <w:link w:val="IntenseQuoteChar"/>
    <w:uiPriority w:val="30"/>
    <w:qFormat/>
    <w:rsid w:val="00C356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561C"/>
    <w:rPr>
      <w:i/>
      <w:iCs/>
      <w:color w:val="2F5496" w:themeColor="accent1" w:themeShade="BF"/>
    </w:rPr>
  </w:style>
  <w:style w:type="character" w:styleId="IntenseReference">
    <w:name w:val="Intense Reference"/>
    <w:basedOn w:val="DefaultParagraphFont"/>
    <w:uiPriority w:val="32"/>
    <w:qFormat/>
    <w:rsid w:val="00C3561C"/>
    <w:rPr>
      <w:b/>
      <w:bCs/>
      <w:smallCaps/>
      <w:color w:val="2F5496" w:themeColor="accent1" w:themeShade="BF"/>
      <w:spacing w:val="5"/>
    </w:rPr>
  </w:style>
  <w:style w:type="paragraph" w:styleId="BodyText">
    <w:name w:val="Body Text"/>
    <w:basedOn w:val="Normal"/>
    <w:link w:val="BodyTextChar"/>
    <w:qFormat/>
    <w:rsid w:val="00C3561C"/>
    <w:pPr>
      <w:spacing w:before="180" w:after="180"/>
    </w:pPr>
  </w:style>
  <w:style w:type="character" w:customStyle="1" w:styleId="BodyTextChar">
    <w:name w:val="Body Text Char"/>
    <w:basedOn w:val="DefaultParagraphFont"/>
    <w:link w:val="BodyText"/>
    <w:rsid w:val="00C3561C"/>
    <w:rPr>
      <w:kern w:val="0"/>
      <w:sz w:val="24"/>
      <w:szCs w:val="24"/>
      <w:lang w:val="en-US"/>
      <w14:ligatures w14:val="none"/>
    </w:rPr>
  </w:style>
  <w:style w:type="paragraph" w:styleId="FootnoteText">
    <w:name w:val="footnote text"/>
    <w:basedOn w:val="Normal"/>
    <w:link w:val="FootnoteTextChar"/>
    <w:uiPriority w:val="9"/>
    <w:unhideWhenUsed/>
    <w:qFormat/>
    <w:rsid w:val="00C3561C"/>
  </w:style>
  <w:style w:type="character" w:customStyle="1" w:styleId="FootnoteTextChar">
    <w:name w:val="Footnote Text Char"/>
    <w:basedOn w:val="DefaultParagraphFont"/>
    <w:link w:val="FootnoteText"/>
    <w:uiPriority w:val="9"/>
    <w:rsid w:val="00C3561C"/>
    <w:rPr>
      <w:kern w:val="0"/>
      <w:sz w:val="24"/>
      <w:szCs w:val="24"/>
      <w:lang w:val="en-US"/>
      <w14:ligatures w14:val="none"/>
    </w:rPr>
  </w:style>
  <w:style w:type="character" w:styleId="FootnoteReference">
    <w:name w:val="footnote reference"/>
    <w:basedOn w:val="DefaultParagraphFont"/>
    <w:rsid w:val="00C3561C"/>
    <w:rPr>
      <w:vertAlign w:val="superscript"/>
    </w:rPr>
  </w:style>
  <w:style w:type="paragraph" w:customStyle="1" w:styleId="FirstParagraph">
    <w:name w:val="First Paragraph"/>
    <w:basedOn w:val="BodyText"/>
    <w:next w:val="BodyText"/>
    <w:qFormat/>
    <w:rsid w:val="00FA3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53148-9AE3-452C-9B40-8C60D59AB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12</Pages>
  <Words>5161</Words>
  <Characters>29418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Akhil Sajeev</dc:creator>
  <cp:keywords/>
  <dc:description/>
  <cp:lastModifiedBy>Akhil Sajeev</cp:lastModifiedBy>
  <cp:revision>7</cp:revision>
  <dcterms:created xsi:type="dcterms:W3CDTF">2025-05-05T07:47:00Z</dcterms:created>
  <dcterms:modified xsi:type="dcterms:W3CDTF">2025-05-05T11:43:00Z</dcterms:modified>
</cp:coreProperties>
</file>