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6B67" w:rsidRPr="00926B67" w:rsidRDefault="00962AC7" w:rsidP="00926B67">
      <w:pPr>
        <w:spacing w:after="360" w:line="276" w:lineRule="auto"/>
        <w:rPr>
          <w:rFonts w:ascii="__Inter_Fallback_179fbf" w:eastAsia="Times New Roman" w:hAnsi="__Inter_Fallback_179fbf"/>
          <w:color w:val="000000"/>
          <w:sz w:val="48"/>
          <w:szCs w:val="48"/>
          <w:lang w:val="en-IN" w:eastAsia="en-IN"/>
        </w:rPr>
      </w:pPr>
      <w:r w:rsidRPr="00962AC7">
        <w:rPr>
          <w:noProof/>
          <w:lang w:val="en-IN" w:eastAsia="en-IN"/>
        </w:rPr>
        <w:drawing>
          <wp:anchor distT="0" distB="0" distL="114300" distR="114300" simplePos="0" relativeHeight="251658240" behindDoc="1" locked="0" layoutInCell="1" allowOverlap="1">
            <wp:simplePos x="0" y="0"/>
            <wp:positionH relativeFrom="column">
              <wp:posOffset>-1270</wp:posOffset>
            </wp:positionH>
            <wp:positionV relativeFrom="paragraph">
              <wp:posOffset>-71755</wp:posOffset>
            </wp:positionV>
            <wp:extent cx="6628130" cy="1511935"/>
            <wp:effectExtent l="0" t="0" r="0" b="0"/>
            <wp:wrapTopAndBottom/>
            <wp:docPr id="1" name="Picture 1" descr="C:\Users\Janvi\Downloads\jetir\old\New folde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vi\Downloads\jetir\old\New folder\Untitle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813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26B67" w:rsidRPr="00926B67">
        <w:rPr>
          <w:rFonts w:ascii="__Inter_Fallback_179fbf" w:eastAsia="Times New Roman" w:hAnsi="__Inter_Fallback_179fbf"/>
          <w:color w:val="000000"/>
          <w:sz w:val="48"/>
          <w:szCs w:val="48"/>
          <w:lang w:val="en-IN" w:eastAsia="en-IN"/>
        </w:rPr>
        <w:t xml:space="preserve">Impact of Digital </w:t>
      </w:r>
      <w:r w:rsidR="003B39FA">
        <w:rPr>
          <w:rFonts w:ascii="__Inter_Fallback_179fbf" w:eastAsia="Times New Roman" w:hAnsi="__Inter_Fallback_179fbf"/>
          <w:color w:val="000000"/>
          <w:sz w:val="48"/>
          <w:szCs w:val="48"/>
          <w:lang w:val="en-IN" w:eastAsia="en-IN"/>
        </w:rPr>
        <w:t>M</w:t>
      </w:r>
      <w:r w:rsidR="00926B67" w:rsidRPr="00926B67">
        <w:rPr>
          <w:rFonts w:ascii="__Inter_Fallback_179fbf" w:eastAsia="Times New Roman" w:hAnsi="__Inter_Fallback_179fbf"/>
          <w:color w:val="000000"/>
          <w:sz w:val="48"/>
          <w:szCs w:val="48"/>
          <w:lang w:val="en-IN" w:eastAsia="en-IN"/>
        </w:rPr>
        <w:t xml:space="preserve">usic among the </w:t>
      </w:r>
      <w:r w:rsidR="003B39FA">
        <w:rPr>
          <w:rFonts w:ascii="__Inter_Fallback_179fbf" w:eastAsia="Times New Roman" w:hAnsi="__Inter_Fallback_179fbf"/>
          <w:color w:val="000000"/>
          <w:sz w:val="48"/>
          <w:szCs w:val="48"/>
          <w:lang w:val="en-IN" w:eastAsia="en-IN"/>
        </w:rPr>
        <w:t>Y</w:t>
      </w:r>
      <w:r w:rsidR="00926B67" w:rsidRPr="00926B67">
        <w:rPr>
          <w:rFonts w:ascii="__Inter_Fallback_179fbf" w:eastAsia="Times New Roman" w:hAnsi="__Inter_Fallback_179fbf"/>
          <w:color w:val="000000"/>
          <w:sz w:val="48"/>
          <w:szCs w:val="48"/>
          <w:lang w:val="en-IN" w:eastAsia="en-IN"/>
        </w:rPr>
        <w:t>outh in Chennai</w:t>
      </w:r>
    </w:p>
    <w:p w:rsidR="00926B67" w:rsidRPr="00926B67" w:rsidRDefault="00926B67" w:rsidP="00926B67">
      <w:pPr>
        <w:suppressAutoHyphens w:val="0"/>
        <w:spacing w:line="276" w:lineRule="auto"/>
        <w:rPr>
          <w:rFonts w:ascii="__Inter_Fallback_179fbf" w:eastAsia="Times New Roman" w:hAnsi="__Inter_Fallback_179fbf"/>
          <w:b/>
          <w:bCs/>
          <w:color w:val="000000"/>
          <w:sz w:val="24"/>
          <w:szCs w:val="24"/>
          <w:lang w:val="en-IN" w:eastAsia="en-IN"/>
        </w:rPr>
      </w:pPr>
      <w:r w:rsidRPr="00926B67">
        <w:rPr>
          <w:rFonts w:ascii="__Inter_Fallback_179fbf" w:eastAsia="Times New Roman" w:hAnsi="__Inter_Fallback_179fbf"/>
          <w:b/>
          <w:bCs/>
          <w:color w:val="000000"/>
          <w:sz w:val="24"/>
          <w:szCs w:val="24"/>
          <w:vertAlign w:val="superscript"/>
          <w:lang w:val="en-IN" w:eastAsia="en-IN"/>
        </w:rPr>
        <w:t>1</w:t>
      </w:r>
      <w:r w:rsidRPr="00926B67">
        <w:rPr>
          <w:rFonts w:ascii="__Inter_Fallback_179fbf" w:eastAsia="Times New Roman" w:hAnsi="__Inter_Fallback_179fbf"/>
          <w:b/>
          <w:bCs/>
          <w:color w:val="000000"/>
          <w:sz w:val="24"/>
          <w:szCs w:val="24"/>
          <w:lang w:val="en-IN" w:eastAsia="en-IN"/>
        </w:rPr>
        <w:t xml:space="preserve">S. Emmanuel Raja, </w:t>
      </w:r>
      <w:r w:rsidRPr="00926B67">
        <w:rPr>
          <w:rFonts w:ascii="__Inter_Fallback_179fbf" w:eastAsia="Times New Roman" w:hAnsi="__Inter_Fallback_179fbf"/>
          <w:b/>
          <w:bCs/>
          <w:color w:val="000000"/>
          <w:sz w:val="24"/>
          <w:szCs w:val="24"/>
          <w:vertAlign w:val="superscript"/>
          <w:lang w:val="en-IN" w:eastAsia="en-IN"/>
        </w:rPr>
        <w:t>2</w:t>
      </w:r>
      <w:r w:rsidRPr="00926B67">
        <w:rPr>
          <w:rFonts w:ascii="__Inter_Fallback_179fbf" w:eastAsia="Times New Roman" w:hAnsi="__Inter_Fallback_179fbf"/>
          <w:b/>
          <w:bCs/>
          <w:color w:val="000000"/>
          <w:sz w:val="24"/>
          <w:szCs w:val="24"/>
          <w:lang w:val="en-IN" w:eastAsia="en-IN"/>
        </w:rPr>
        <w:t xml:space="preserve">B. Senthil kumar, </w:t>
      </w:r>
    </w:p>
    <w:p w:rsidR="00926B67" w:rsidRPr="00926B67" w:rsidRDefault="00926B67" w:rsidP="00926B67">
      <w:pPr>
        <w:suppressAutoHyphens w:val="0"/>
        <w:spacing w:line="276" w:lineRule="auto"/>
        <w:rPr>
          <w:rFonts w:ascii="__Inter_Fallback_179fbf" w:eastAsia="Times New Roman" w:hAnsi="__Inter_Fallback_179fbf"/>
          <w:color w:val="000000"/>
          <w:sz w:val="24"/>
          <w:szCs w:val="24"/>
          <w:lang w:val="en-IN" w:eastAsia="en-IN"/>
        </w:rPr>
      </w:pPr>
      <w:r w:rsidRPr="00926B67">
        <w:rPr>
          <w:rFonts w:ascii="__Inter_Fallback_179fbf" w:eastAsia="Times New Roman" w:hAnsi="__Inter_Fallback_179fbf"/>
          <w:b/>
          <w:bCs/>
          <w:color w:val="000000"/>
          <w:sz w:val="24"/>
          <w:szCs w:val="24"/>
          <w:vertAlign w:val="superscript"/>
          <w:lang w:val="en-IN" w:eastAsia="en-IN"/>
        </w:rPr>
        <w:t>1</w:t>
      </w:r>
      <w:r w:rsidRPr="00926B67">
        <w:rPr>
          <w:rFonts w:ascii="__Inter_Fallback_179fbf" w:eastAsia="Times New Roman" w:hAnsi="__Inter_Fallback_179fbf"/>
          <w:color w:val="000000"/>
          <w:sz w:val="24"/>
          <w:szCs w:val="24"/>
          <w:lang w:val="en-IN" w:eastAsia="en-IN"/>
        </w:rPr>
        <w:t>Research Scholar, Vels Institute of Science, Technology and advanced Studies, Chennai</w:t>
      </w:r>
    </w:p>
    <w:p w:rsidR="00926B67" w:rsidRPr="00926B67" w:rsidRDefault="00926B67" w:rsidP="00926B67">
      <w:pPr>
        <w:suppressAutoHyphens w:val="0"/>
        <w:rPr>
          <w:rFonts w:ascii="__Inter_Fallback_179fbf" w:eastAsia="Times New Roman" w:hAnsi="__Inter_Fallback_179fbf"/>
          <w:color w:val="000000"/>
          <w:sz w:val="24"/>
          <w:szCs w:val="24"/>
          <w:lang w:val="en-IN" w:eastAsia="en-IN"/>
        </w:rPr>
      </w:pPr>
      <w:r w:rsidRPr="00926B67">
        <w:rPr>
          <w:rFonts w:ascii="__Inter_Fallback_179fbf" w:eastAsia="Times New Roman" w:hAnsi="__Inter_Fallback_179fbf"/>
          <w:b/>
          <w:bCs/>
          <w:color w:val="000000"/>
          <w:sz w:val="24"/>
          <w:szCs w:val="24"/>
          <w:vertAlign w:val="superscript"/>
          <w:lang w:val="en-IN" w:eastAsia="en-IN"/>
        </w:rPr>
        <w:t>2</w:t>
      </w:r>
      <w:r w:rsidRPr="00926B67">
        <w:rPr>
          <w:rFonts w:ascii="__Inter_Fallback_179fbf" w:eastAsia="Times New Roman" w:hAnsi="__Inter_Fallback_179fbf"/>
          <w:color w:val="000000"/>
          <w:sz w:val="24"/>
          <w:szCs w:val="24"/>
          <w:lang w:val="en-IN" w:eastAsia="en-IN"/>
        </w:rPr>
        <w:t>Research Supervisor, Vels Institute of Science, Technology and advanced Studies, Chennai</w:t>
      </w:r>
    </w:p>
    <w:p w:rsidR="00692375" w:rsidRPr="007079C8" w:rsidRDefault="007079C8" w:rsidP="009C6BA4">
      <w:pPr>
        <w:pStyle w:val="papertitle"/>
        <w:rPr>
          <w:sz w:val="18"/>
        </w:rPr>
      </w:pPr>
      <w:r w:rsidRPr="007079C8">
        <w:t>___________________________________</w:t>
      </w:r>
      <w:r w:rsidR="00926B67">
        <w:t>__</w:t>
      </w:r>
    </w:p>
    <w:p w:rsidR="007079C8" w:rsidRDefault="00962AC7" w:rsidP="003B39FA">
      <w:pPr>
        <w:pStyle w:val="Abstract"/>
        <w:spacing w:after="0"/>
        <w:ind w:firstLine="0"/>
        <w:rPr>
          <w:i/>
          <w:sz w:val="20"/>
          <w:szCs w:val="20"/>
        </w:rPr>
      </w:pPr>
      <w:r w:rsidRPr="007079C8">
        <w:rPr>
          <w:i/>
          <w:iCs/>
          <w:sz w:val="20"/>
          <w:szCs w:val="20"/>
        </w:rPr>
        <w:t>Abstract</w:t>
      </w:r>
      <w:r>
        <w:rPr>
          <w:i/>
          <w:iCs/>
          <w:sz w:val="20"/>
          <w:szCs w:val="20"/>
        </w:rPr>
        <w:t>:</w:t>
      </w:r>
      <w:r w:rsidR="001611D6">
        <w:rPr>
          <w:i/>
          <w:iCs/>
          <w:sz w:val="20"/>
          <w:szCs w:val="20"/>
        </w:rPr>
        <w:t xml:space="preserve"> </w:t>
      </w:r>
      <w:r w:rsidR="001611D6" w:rsidRPr="001611D6">
        <w:rPr>
          <w:rFonts w:eastAsia="Calibri"/>
          <w:b w:val="0"/>
          <w:sz w:val="20"/>
          <w:szCs w:val="20"/>
          <w:lang w:eastAsia="en-US"/>
        </w:rPr>
        <w:t xml:space="preserve"> </w:t>
      </w:r>
      <w:r w:rsidR="00926B67" w:rsidRPr="00926B67">
        <w:rPr>
          <w:rFonts w:eastAsia="Calibri"/>
          <w:b w:val="0"/>
          <w:sz w:val="20"/>
          <w:szCs w:val="20"/>
          <w:lang w:eastAsia="en-US"/>
        </w:rPr>
        <w:t>The rapid growth and development in the digitization of music have significantly transformed how the youth increase their consumption pattern style and involvement, engage with, and relate to music in Chennai, a film and vibrant cultural hub of south  India. This study explores the impact of digital music platforms and their  listening habits, preferences, and social cultural factors of the city's youth. It examines the accessibility, affordability, and variety offered by online platforms like Spotify, YouTube, and Gaana, which have replaced traditional methods  of analog music consumption such as radio and CDs. The research adopts a mixed-methods approach, combining surveys and interviews with individuals aged 15–30 to assess their digital music usage patterns and their influence on their cultural identity and emotional well-being. Findings suggest that digital music has endured a more personalized and globalized experience, enabling youth to explore diverse genres while retaining a strong connection to local traditions. However, it also highlights concerns such as diminished attention spans, over-relational  on psychological behavioral change , and reduced in physical music and community engagement. The study  explains  the dual role of digital music as both a tool for cultural globalization and a medium for preserving Chennai's classical and traditional  musical heritage. Insights from this research could update  the strategies for promoting balanced digital consumption while safeguarding the cultural identity for music</w:t>
      </w:r>
      <w:r w:rsidR="003B39FA">
        <w:rPr>
          <w:rFonts w:eastAsia="Calibri"/>
          <w:b w:val="0"/>
          <w:sz w:val="20"/>
          <w:szCs w:val="20"/>
          <w:lang w:eastAsia="en-US"/>
        </w:rPr>
        <w:t>.</w:t>
      </w:r>
    </w:p>
    <w:p w:rsidR="003B39FA" w:rsidRDefault="003B39FA" w:rsidP="007079C8">
      <w:pPr>
        <w:pStyle w:val="keywords"/>
        <w:spacing w:after="0"/>
        <w:ind w:firstLine="0"/>
        <w:rPr>
          <w:i/>
          <w:sz w:val="20"/>
          <w:szCs w:val="20"/>
        </w:rPr>
      </w:pPr>
    </w:p>
    <w:p w:rsidR="00692375" w:rsidRDefault="00962AC7" w:rsidP="007079C8">
      <w:pPr>
        <w:pStyle w:val="keywords"/>
        <w:spacing w:after="0"/>
        <w:ind w:firstLine="0"/>
        <w:rPr>
          <w:b w:val="0"/>
          <w:bCs w:val="0"/>
          <w:i/>
          <w:sz w:val="20"/>
          <w:szCs w:val="20"/>
        </w:rPr>
      </w:pPr>
      <w:r w:rsidRPr="007079C8">
        <w:rPr>
          <w:i/>
          <w:sz w:val="20"/>
          <w:szCs w:val="20"/>
        </w:rPr>
        <w:t>Index Terms</w:t>
      </w:r>
      <w:r w:rsidR="00092B52">
        <w:rPr>
          <w:rFonts w:eastAsia="Times New Roman"/>
          <w:sz w:val="20"/>
          <w:szCs w:val="20"/>
        </w:rPr>
        <w:t xml:space="preserve"> - </w:t>
      </w:r>
      <w:r w:rsidR="003B39FA" w:rsidRPr="003B39FA">
        <w:rPr>
          <w:rFonts w:eastAsia="Times New Roman"/>
          <w:sz w:val="20"/>
          <w:szCs w:val="20"/>
        </w:rPr>
        <w:t>Digitization of music, Listening habits, preferences, community e</w:t>
      </w:r>
      <w:r w:rsidR="003B39FA">
        <w:rPr>
          <w:rFonts w:eastAsia="Times New Roman"/>
          <w:sz w:val="20"/>
          <w:szCs w:val="20"/>
        </w:rPr>
        <w:t>ngagements, balanced consumptio</w:t>
      </w:r>
      <w:r w:rsidR="003B39FA" w:rsidRPr="003B39FA">
        <w:rPr>
          <w:rFonts w:eastAsia="Times New Roman"/>
          <w:sz w:val="20"/>
          <w:szCs w:val="20"/>
        </w:rPr>
        <w:t>n</w:t>
      </w:r>
      <w:r w:rsidR="007D522D" w:rsidRPr="007079C8">
        <w:rPr>
          <w:sz w:val="20"/>
          <w:szCs w:val="20"/>
        </w:rPr>
        <w:t>.</w:t>
      </w:r>
    </w:p>
    <w:p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rsidR="00692375" w:rsidRDefault="00092B52" w:rsidP="00782518">
      <w:pPr>
        <w:pStyle w:val="Heading1"/>
        <w:numPr>
          <w:ilvl w:val="0"/>
          <w:numId w:val="1"/>
        </w:numPr>
        <w:jc w:val="left"/>
        <w:rPr>
          <w:b/>
        </w:rPr>
      </w:pPr>
      <w:r>
        <w:rPr>
          <w:b/>
        </w:rPr>
        <w:t>Introduction</w:t>
      </w:r>
    </w:p>
    <w:p w:rsidR="00962AC7" w:rsidRPr="009C6BA4" w:rsidRDefault="00926B67" w:rsidP="00A9368B">
      <w:pPr>
        <w:pStyle w:val="BodyText"/>
        <w:rPr>
          <w:sz w:val="24"/>
          <w:lang w:eastAsia="en-US"/>
        </w:rPr>
      </w:pPr>
      <w:r w:rsidRPr="009C6BA4">
        <w:rPr>
          <w:rFonts w:eastAsia="Times New Roman"/>
          <w:color w:val="000000"/>
          <w:spacing w:val="0"/>
          <w:sz w:val="24"/>
          <w:szCs w:val="24"/>
          <w:lang w:val="en-IN" w:eastAsia="en-IN"/>
        </w:rPr>
        <w:t>In recent years, the proliferation of digital music has profoundly transformed the auditory landscape for today’s youth, reshaping not only how they access and consume music but also influencing their social interactions and emotional well-being. With platforms like Spotify, Apple Music, and YouTube offering instantaneous access to millions of tracks, young listeners can curate their personal soundtracks, fostering a sense of identity and belonging. This evolution has prompted significant changes in musical preferences, shifting towards genres and artists that resonate with individual experiences and cultural backgrounds. As access to diverse music increases, it becomes essential to examine the implications of digital music on social dynamics, emotional development, and even academic performance among young people. In this essay, the multifaceted impact of digital music on youth will be explored, highlighting both the positive and negative effects that characterize this significant cultural phenomenon.</w:t>
      </w:r>
    </w:p>
    <w:p w:rsidR="00926B67" w:rsidRPr="009C6BA4" w:rsidRDefault="00926B67" w:rsidP="00926B67">
      <w:pPr>
        <w:pStyle w:val="Heading1"/>
        <w:tabs>
          <w:tab w:val="clear" w:pos="0"/>
        </w:tabs>
        <w:jc w:val="left"/>
        <w:rPr>
          <w:b/>
        </w:rPr>
      </w:pPr>
      <w:r w:rsidRPr="009C6BA4">
        <w:rPr>
          <w:b/>
        </w:rPr>
        <w:t>Overview of the rise of digital music and its prevalence among youth</w:t>
      </w:r>
    </w:p>
    <w:p w:rsidR="00926B67" w:rsidRPr="009C6BA4" w:rsidRDefault="00926B67" w:rsidP="00926B67">
      <w:pPr>
        <w:shd w:val="clear" w:color="auto" w:fill="FFFFFF"/>
        <w:suppressAutoHyphens w:val="0"/>
        <w:jc w:val="both"/>
        <w:rPr>
          <w:rFonts w:eastAsia="Times New Roman"/>
          <w:color w:val="222222"/>
          <w:lang w:val="en-IN" w:eastAsia="en-US"/>
        </w:rPr>
      </w:pPr>
      <w:r w:rsidRPr="009C6BA4">
        <w:rPr>
          <w:rFonts w:eastAsia="Times New Roman"/>
          <w:color w:val="000000"/>
          <w:sz w:val="24"/>
          <w:szCs w:val="24"/>
          <w:lang w:eastAsia="en-IN"/>
        </w:rPr>
        <w:t>The rise of digital music can be attributed to the convergence of technological advancements and changing consumer behaviours, particularly among youth. As access to high-speed internet and portable devices has pr</w:t>
      </w:r>
      <w:r w:rsidR="00A12A67">
        <w:rPr>
          <w:rFonts w:eastAsia="Times New Roman"/>
          <w:color w:val="000000"/>
          <w:sz w:val="24"/>
          <w:szCs w:val="24"/>
          <w:lang w:eastAsia="en-IN"/>
        </w:rPr>
        <w:t>oliferated, platforms like Spot</w:t>
      </w:r>
      <w:r w:rsidRPr="009C6BA4">
        <w:rPr>
          <w:rFonts w:eastAsia="Times New Roman"/>
          <w:color w:val="000000"/>
          <w:sz w:val="24"/>
          <w:szCs w:val="24"/>
          <w:lang w:eastAsia="en-IN"/>
        </w:rPr>
        <w:t>i</w:t>
      </w:r>
      <w:r w:rsidR="00A12A67">
        <w:rPr>
          <w:rFonts w:eastAsia="Times New Roman"/>
          <w:color w:val="000000"/>
          <w:sz w:val="24"/>
          <w:szCs w:val="24"/>
          <w:lang w:eastAsia="en-IN"/>
        </w:rPr>
        <w:t>f</w:t>
      </w:r>
      <w:r w:rsidRPr="009C6BA4">
        <w:rPr>
          <w:rFonts w:eastAsia="Times New Roman"/>
          <w:color w:val="000000"/>
          <w:sz w:val="24"/>
          <w:szCs w:val="24"/>
          <w:lang w:eastAsia="en-IN"/>
        </w:rPr>
        <w:t>y, Apple Music, and Sound Cloud have transformed how young people consume music. This shift has resulted in a dramatic decline in physical album sales while fostering an environment where streaming dominates musical preferences. Notably, the pervasive nature of digital music not only reflects young peoples desires for immediate gratification but also aligns with their social interactions, as music becomes a med</w:t>
      </w:r>
      <w:bookmarkStart w:id="0" w:name="_GoBack"/>
      <w:bookmarkEnd w:id="0"/>
      <w:r w:rsidRPr="009C6BA4">
        <w:rPr>
          <w:rFonts w:eastAsia="Times New Roman"/>
          <w:color w:val="000000"/>
          <w:sz w:val="24"/>
          <w:szCs w:val="24"/>
          <w:lang w:eastAsia="en-IN"/>
        </w:rPr>
        <w:t>ium for connection and expression within peer groups. Furthermore, the influence of targeted media marketing has also been shown to affect youth behaviours in various contexts, including their engagement with music and associated lifestyle choices, thereby amplifying music’s role in shaping cultural identities and societal norms</w:t>
      </w:r>
    </w:p>
    <w:p w:rsidR="00926B67" w:rsidRDefault="00926B67" w:rsidP="00A9368B">
      <w:pPr>
        <w:shd w:val="clear" w:color="auto" w:fill="FFFFFF"/>
        <w:suppressAutoHyphens w:val="0"/>
        <w:jc w:val="left"/>
        <w:rPr>
          <w:rFonts w:ascii="Arial" w:eastAsia="Times New Roman" w:hAnsi="Arial" w:cs="Arial"/>
          <w:color w:val="222222"/>
          <w:lang w:val="en-IN" w:eastAsia="en-US"/>
        </w:rPr>
      </w:pPr>
    </w:p>
    <w:p w:rsidR="009C6BA4" w:rsidRDefault="009C6BA4" w:rsidP="00926B67">
      <w:pPr>
        <w:shd w:val="clear" w:color="auto" w:fill="FFFFFF"/>
        <w:suppressAutoHyphens w:val="0"/>
        <w:jc w:val="left"/>
        <w:rPr>
          <w:rFonts w:ascii="Arial" w:eastAsia="Times New Roman" w:hAnsi="Arial" w:cs="Arial"/>
          <w:b/>
          <w:bCs/>
          <w:color w:val="222222"/>
          <w:lang w:val="en-IN" w:eastAsia="en-US"/>
        </w:rPr>
      </w:pPr>
    </w:p>
    <w:p w:rsidR="00926B67" w:rsidRPr="009C6BA4" w:rsidRDefault="00926B67" w:rsidP="00926B67">
      <w:pPr>
        <w:shd w:val="clear" w:color="auto" w:fill="FFFFFF"/>
        <w:suppressAutoHyphens w:val="0"/>
        <w:jc w:val="left"/>
        <w:rPr>
          <w:rFonts w:eastAsia="Times New Roman"/>
          <w:b/>
          <w:bCs/>
          <w:color w:val="222222"/>
          <w:lang w:val="en-IN" w:eastAsia="en-US"/>
        </w:rPr>
      </w:pPr>
      <w:r w:rsidRPr="009C6BA4">
        <w:rPr>
          <w:rFonts w:eastAsia="Times New Roman"/>
          <w:b/>
          <w:bCs/>
          <w:color w:val="222222"/>
          <w:lang w:val="en-IN" w:eastAsia="en-US"/>
        </w:rPr>
        <w:t>II. Positive Effects of Digital Music</w:t>
      </w:r>
    </w:p>
    <w:p w:rsidR="00926B67" w:rsidRPr="009C6BA4" w:rsidRDefault="00926B67" w:rsidP="00926B67">
      <w:pPr>
        <w:shd w:val="clear" w:color="auto" w:fill="FFFFFF"/>
        <w:suppressAutoHyphens w:val="0"/>
        <w:jc w:val="both"/>
        <w:rPr>
          <w:rFonts w:eastAsia="Times New Roman"/>
          <w:color w:val="222222"/>
          <w:lang w:val="en-IN" w:eastAsia="en-US"/>
        </w:rPr>
      </w:pPr>
      <w:r w:rsidRPr="009C6BA4">
        <w:rPr>
          <w:rFonts w:eastAsia="Times New Roman"/>
          <w:color w:val="222222"/>
          <w:lang w:val="en-IN" w:eastAsia="en-US"/>
        </w:rPr>
        <w:t>The emergence of digital music has significantly enriched the cultural landscape for youth, enabling them to access a vast array of genres and artists from around the world. This exposure fosters greater appreciation for diverse musical traditions, supporting creativity and promoting cultural awareness. Additionally, digital music platforms often integrate educational tools that enhance learning experiences. For instance, youth can engage with music theory and composition through interactive applications, encouraging artistic expression and critical thinking. Music-based afterschool programs, such as those highlighted in further illustrate this positive impact, as they offer structured environments where middle school students can explore their musical interests while developing social skills and teamwork. Moreover, digital platforms facilitate the sharing and collaboration of music, allowing young creators to connect and learn from one another, ultimately nurturing a community of collaboration and innovation. Thus, the benefits of digital music extend beyond mere entertainment, serving as an essential tool for personal and educational growth.</w:t>
      </w:r>
    </w:p>
    <w:p w:rsidR="00926B67" w:rsidRPr="009C6BA4" w:rsidRDefault="00926B67" w:rsidP="00926B67">
      <w:pPr>
        <w:shd w:val="clear" w:color="auto" w:fill="FFFFFF"/>
        <w:suppressAutoHyphens w:val="0"/>
        <w:jc w:val="left"/>
        <w:rPr>
          <w:rFonts w:eastAsia="Times New Roman"/>
          <w:b/>
          <w:bCs/>
          <w:color w:val="222222"/>
          <w:lang w:val="en-IN" w:eastAsia="en-US"/>
        </w:rPr>
      </w:pPr>
      <w:r w:rsidRPr="009C6BA4">
        <w:rPr>
          <w:rFonts w:eastAsia="Times New Roman"/>
          <w:b/>
          <w:bCs/>
          <w:color w:val="222222"/>
          <w:lang w:val="en-IN" w:eastAsia="en-US"/>
        </w:rPr>
        <w:t>Enhancement of creativity and self-expression through music production and sharing</w:t>
      </w:r>
    </w:p>
    <w:p w:rsidR="00926B67" w:rsidRPr="00926B67" w:rsidRDefault="00926B67" w:rsidP="00926B67">
      <w:pPr>
        <w:shd w:val="clear" w:color="auto" w:fill="FFFFFF"/>
        <w:suppressAutoHyphens w:val="0"/>
        <w:jc w:val="both"/>
        <w:rPr>
          <w:rFonts w:ascii="Arial" w:eastAsia="Times New Roman" w:hAnsi="Arial" w:cs="Arial"/>
          <w:color w:val="222222"/>
          <w:lang w:val="en-IN" w:eastAsia="en-US"/>
        </w:rPr>
      </w:pPr>
      <w:r w:rsidRPr="009C6BA4">
        <w:rPr>
          <w:rFonts w:eastAsia="Times New Roman"/>
          <w:color w:val="222222"/>
          <w:lang w:val="en-IN" w:eastAsia="en-US"/>
        </w:rPr>
        <w:t>The digital landscape has revolutionized how young individuals engage with music, fostering unprecedented opportunities for creativity and self-expression. With the advent of user-friendly music production software and platforms for sharing, youth can now create, remix, and disseminate their musical compositions with ease. This shift is emblematic of a broader transition from passive consumption to active participation in the arts, where, as noted , a making-and-doing-culture is emerging. By engaging in music production, adolescents not only hone their artistic skills but also cultivate a sense of agency over their identities and narratives. Additionally, platforms that encourage content creation serve as critical catalysts for youth to explore their creativity, as argued in supporting the development of competencies essential for their future. Therefore, digital music is not merely an entertainment medium; it is a vital tool for personal expression and cultural participation among young people</w:t>
      </w:r>
      <w:r w:rsidRPr="00926B67">
        <w:rPr>
          <w:rFonts w:ascii="Arial" w:eastAsia="Times New Roman" w:hAnsi="Arial" w:cs="Arial"/>
          <w:color w:val="222222"/>
          <w:lang w:val="en-IN" w:eastAsia="en-US"/>
        </w:rPr>
        <w:t>.</w:t>
      </w:r>
    </w:p>
    <w:p w:rsidR="00926B67" w:rsidRPr="00926B67" w:rsidRDefault="00926B67" w:rsidP="00926B67">
      <w:pPr>
        <w:shd w:val="clear" w:color="auto" w:fill="FFFFFF"/>
        <w:suppressAutoHyphens w:val="0"/>
        <w:jc w:val="both"/>
        <w:rPr>
          <w:rFonts w:ascii="Arial" w:eastAsia="Times New Roman" w:hAnsi="Arial" w:cs="Arial"/>
          <w:color w:val="222222"/>
          <w:lang w:val="en-IN" w:eastAsia="en-US"/>
        </w:rPr>
      </w:pPr>
    </w:p>
    <w:p w:rsidR="00926B67" w:rsidRPr="009C6BA4" w:rsidRDefault="00926B67" w:rsidP="00926B67">
      <w:pPr>
        <w:shd w:val="clear" w:color="auto" w:fill="FFFFFF"/>
        <w:suppressAutoHyphens w:val="0"/>
        <w:jc w:val="left"/>
        <w:rPr>
          <w:rFonts w:eastAsia="Times New Roman"/>
          <w:b/>
          <w:bCs/>
          <w:color w:val="222222"/>
          <w:lang w:val="en-IN" w:eastAsia="en-US"/>
        </w:rPr>
      </w:pPr>
      <w:r w:rsidRPr="009C6BA4">
        <w:rPr>
          <w:rFonts w:eastAsia="Times New Roman"/>
          <w:b/>
          <w:bCs/>
          <w:color w:val="222222"/>
          <w:lang w:val="en-IN" w:eastAsia="en-US"/>
        </w:rPr>
        <w:t>III. Negative Effects of Digital Music</w:t>
      </w:r>
    </w:p>
    <w:p w:rsidR="00926B67" w:rsidRPr="009C6BA4" w:rsidRDefault="00926B67" w:rsidP="00926B67">
      <w:pPr>
        <w:shd w:val="clear" w:color="auto" w:fill="FFFFFF"/>
        <w:suppressAutoHyphens w:val="0"/>
        <w:jc w:val="both"/>
        <w:rPr>
          <w:rFonts w:eastAsia="Times New Roman"/>
          <w:color w:val="222222"/>
          <w:lang w:val="en-IN" w:eastAsia="en-US"/>
        </w:rPr>
      </w:pPr>
      <w:r w:rsidRPr="009C6BA4">
        <w:rPr>
          <w:rFonts w:eastAsia="Times New Roman"/>
          <w:color w:val="222222"/>
          <w:lang w:val="en-IN" w:eastAsia="en-US"/>
        </w:rPr>
        <w:t>The pervasive accessibility and consumption of digital music can have several negative effects on youth, particularly in shaping their emotional and social landscapes. One significant issue is the potential for digital music to perpetuate a culture of isolation, where individuals increasingly engage with music on personal devices rather than through communal experiences, leading to diminished social interactions. This isolation can exacerbate feelings of loneliness and depression among young people, impacting their overall mental well-being. Additionally, research has demonstrated that media marketing, including music-related advertising, can influence health-related behaviors, particularly in diverse communities, potentially leading to unhealthy lifestyle choices ,As the youth continue to define their identities through the music they consume, the narratives promoting materialism and unhealthy behaviors prevalent in certain digital music genres may further entrench negative stereotypes and expectations, ultimately affecting their social development and self-perception.</w:t>
      </w:r>
    </w:p>
    <w:p w:rsidR="00926B67" w:rsidRPr="009C6BA4" w:rsidRDefault="00926B67" w:rsidP="00A9368B">
      <w:pPr>
        <w:shd w:val="clear" w:color="auto" w:fill="FFFFFF"/>
        <w:suppressAutoHyphens w:val="0"/>
        <w:jc w:val="left"/>
        <w:rPr>
          <w:rFonts w:eastAsia="Times New Roman"/>
          <w:color w:val="222222"/>
          <w:lang w:val="en-IN" w:eastAsia="en-US"/>
        </w:rPr>
      </w:pPr>
    </w:p>
    <w:p w:rsidR="00926B67" w:rsidRPr="009C6BA4" w:rsidRDefault="00926B67" w:rsidP="00926B67">
      <w:pPr>
        <w:pStyle w:val="Heading1"/>
        <w:tabs>
          <w:tab w:val="clear" w:pos="0"/>
        </w:tabs>
        <w:jc w:val="left"/>
        <w:rPr>
          <w:smallCaps w:val="0"/>
          <w:spacing w:val="-1"/>
          <w:lang w:eastAsia="zh-CN"/>
        </w:rPr>
      </w:pPr>
      <w:r w:rsidRPr="009C6BA4">
        <w:rPr>
          <w:smallCaps w:val="0"/>
          <w:spacing w:val="-1"/>
          <w:lang w:eastAsia="zh-CN"/>
        </w:rPr>
        <w:t>A. Impact on mental health, including issues related to addiction and social isolation</w:t>
      </w:r>
    </w:p>
    <w:p w:rsidR="00926B67" w:rsidRPr="009C6BA4" w:rsidRDefault="00926B67" w:rsidP="00926B67">
      <w:pPr>
        <w:pStyle w:val="Heading1"/>
        <w:tabs>
          <w:tab w:val="clear" w:pos="0"/>
        </w:tabs>
        <w:ind w:firstLine="0"/>
        <w:jc w:val="left"/>
        <w:rPr>
          <w:smallCaps w:val="0"/>
          <w:spacing w:val="-1"/>
          <w:lang w:eastAsia="zh-CN"/>
        </w:rPr>
      </w:pPr>
      <w:r w:rsidRPr="009C6BA4">
        <w:rPr>
          <w:smallCaps w:val="0"/>
          <w:spacing w:val="-1"/>
          <w:lang w:eastAsia="zh-CN"/>
        </w:rPr>
        <w:t>The impact of digital music on youth extends beyond mere entertainment, significantly affecting mental health through issues of addiction and social isolation. As adolescents increasingly engage with technology, their dependence on digital platforms for music consumption can lead to compulsive behaviours, mirroring broader trends of tech addiction seen in today’s society. With many young individuals favouring pleasure-driven usage patterns, this trend becomes a causal factor in deteriorating mental well-being, as highlighted by findings that demonstrate a direct correlation between tech-dependency and negative mental health outcomes. Furthermore, the pandemic accentuated feelings of isolation among students, exacerbating challenges associated with virtual environments and decreasing the quality of interpersonal relationships collectively, these factors underscore the need for awareness and intervention strategies tailored to mitigate the adverse effects of digital music consumption on mental health and promote healthier engagement with technology.</w:t>
      </w:r>
    </w:p>
    <w:p w:rsidR="00926B67" w:rsidRPr="009C6BA4" w:rsidRDefault="00926B67" w:rsidP="00926B67">
      <w:pPr>
        <w:pStyle w:val="BodyText"/>
        <w:rPr>
          <w:b/>
          <w:bCs/>
          <w:lang w:val="en-IN"/>
        </w:rPr>
      </w:pPr>
      <w:r w:rsidRPr="009C6BA4">
        <w:rPr>
          <w:b/>
          <w:bCs/>
          <w:lang w:val="en-IN"/>
        </w:rPr>
        <w:t>IV. Conclusion</w:t>
      </w:r>
    </w:p>
    <w:p w:rsidR="00926B67" w:rsidRDefault="00926B67" w:rsidP="00926B67">
      <w:pPr>
        <w:pStyle w:val="BodyText"/>
        <w:rPr>
          <w:lang w:val="en-IN"/>
        </w:rPr>
      </w:pPr>
      <w:r w:rsidRPr="009C6BA4">
        <w:rPr>
          <w:lang w:val="en-IN"/>
        </w:rPr>
        <w:t>In conclusion, the impact of digital music on youth is multifaceted, generating both positive and negative implications for their development and social interaction. As young people increasingly engage with music through digital platforms, they find opportunities for artistic expression and community building, which can positively influence their self-esteem and identity formation. Moreover, programs that facilitate arts enrichment, like those highlighted to demonstrate the potential of structured environments to foster creativity and connect youth with music in meaningful ways. However, the challenges posed by digital media consumption, such as exposure to inappropriate content or diminished social skills, cannot be overlooked. Initiatives aimed at enhancing digital and media literacy, as noted in (Hobbs R), are essential in equipping the younger generation to navigate the complexities of their digital music experiences. Thus, a balanced approach is crucial to maximize benefits while mitigating risks.</w:t>
      </w:r>
    </w:p>
    <w:p w:rsidR="009C6BA4" w:rsidRPr="009C6BA4" w:rsidRDefault="009C6BA4" w:rsidP="00926B67">
      <w:pPr>
        <w:pStyle w:val="BodyText"/>
        <w:rPr>
          <w:lang w:val="en-IN"/>
        </w:rPr>
      </w:pPr>
    </w:p>
    <w:p w:rsidR="00926B67" w:rsidRDefault="00926B67" w:rsidP="00926B67">
      <w:pPr>
        <w:pStyle w:val="BodyText"/>
        <w:rPr>
          <w:b/>
          <w:bCs/>
          <w:lang w:val="en-IN"/>
        </w:rPr>
      </w:pPr>
      <w:r w:rsidRPr="009C6BA4">
        <w:rPr>
          <w:b/>
          <w:bCs/>
          <w:lang w:val="en-IN"/>
        </w:rPr>
        <w:t>Summary of the dual impact of digital music on youth and the importance of balanced consumption</w:t>
      </w:r>
    </w:p>
    <w:p w:rsidR="00926B67" w:rsidRPr="009C6BA4" w:rsidRDefault="00926B67" w:rsidP="00926B67">
      <w:pPr>
        <w:pStyle w:val="BodyText"/>
        <w:rPr>
          <w:lang w:val="en-IN"/>
        </w:rPr>
      </w:pPr>
      <w:r w:rsidRPr="009C6BA4">
        <w:rPr>
          <w:lang w:val="en-IN"/>
        </w:rPr>
        <w:t>The advent of digital music has profoundly influenced youth culture, presenting both positive and negative repercussions that demand careful consideration. On one hand, access to an extensive library of music fosters creativity and self-expression, enabling young individuals to explore diverse genres and connect with peers through shared musical experiences. This connectivity can enhance social interaction and provide a sense of community. Conversely, unchecked consumption may lead to negative outcomes, such as diminished attention spans and the perpetuation of unrealistic ideals often depicted in music videos and lyrics. Additionally, excessive screen time related to music streaming can contribute to physical and mental health challenges, including sedentary behavior and increased anxiety. Therefore, promoting balanced consumption of digital music is imperative, as it encourages youth to harness the enriching aspects of music while mitigating its potentially harmful effects, thereby supporting overall well-being and personal development.</w:t>
      </w:r>
    </w:p>
    <w:p w:rsidR="00926B67" w:rsidRPr="00926B67" w:rsidRDefault="00926B67" w:rsidP="00926B67">
      <w:pPr>
        <w:pStyle w:val="BodyText"/>
      </w:pPr>
    </w:p>
    <w:p w:rsidR="00692375" w:rsidRPr="002C60BB" w:rsidRDefault="007D522D" w:rsidP="002C60BB">
      <w:pPr>
        <w:pStyle w:val="Heading1"/>
        <w:numPr>
          <w:ilvl w:val="0"/>
          <w:numId w:val="1"/>
        </w:numPr>
        <w:jc w:val="left"/>
        <w:rPr>
          <w:b/>
        </w:rPr>
      </w:pPr>
      <w:r w:rsidRPr="002C60BB">
        <w:rPr>
          <w:b/>
        </w:rPr>
        <w:t>Acknowledgment</w:t>
      </w:r>
    </w:p>
    <w:p w:rsidR="00692375" w:rsidRDefault="001A44B9">
      <w:pPr>
        <w:pStyle w:val="BodyText"/>
      </w:pPr>
      <w:r w:rsidRPr="001A44B9">
        <w:t>I would like to e</w:t>
      </w:r>
      <w:r>
        <w:t xml:space="preserve">xpress my sincere gratitude to  Dr,Senthil kumar </w:t>
      </w:r>
      <w:r w:rsidRPr="001A44B9">
        <w:t xml:space="preserve"> for their invaluable support, guidance, and insightful feedback throughout the course of this </w:t>
      </w:r>
      <w:r>
        <w:t xml:space="preserve">study </w:t>
      </w:r>
      <w:r w:rsidRPr="001A44B9">
        <w:t xml:space="preserve">. Special thanks to </w:t>
      </w:r>
      <w:r>
        <w:t xml:space="preserve">Mrs.Christiana  for </w:t>
      </w:r>
      <w:r w:rsidRPr="001A44B9">
        <w:t>her assistance with  da</w:t>
      </w:r>
      <w:r>
        <w:t>ta analysis, editing.</w:t>
      </w:r>
    </w:p>
    <w:p w:rsidR="00692375" w:rsidRPr="002C60BB" w:rsidRDefault="007D522D" w:rsidP="002C60BB">
      <w:pPr>
        <w:pStyle w:val="Heading1"/>
        <w:tabs>
          <w:tab w:val="clear" w:pos="0"/>
        </w:tabs>
        <w:ind w:firstLine="0"/>
        <w:jc w:val="left"/>
        <w:rPr>
          <w:b/>
        </w:rPr>
      </w:pPr>
      <w:r w:rsidRPr="002C60BB">
        <w:rPr>
          <w:b/>
        </w:rPr>
        <w:t>References</w:t>
      </w:r>
    </w:p>
    <w:p w:rsidR="00926B67" w:rsidRDefault="00C26B91" w:rsidP="00C26B91">
      <w:pPr>
        <w:ind w:left="270" w:hanging="270"/>
        <w:jc w:val="both"/>
      </w:pPr>
      <w:r>
        <w:rPr>
          <w:b/>
          <w:bCs/>
        </w:rPr>
        <w:t xml:space="preserve">[1] </w:t>
      </w:r>
      <w:r w:rsidR="00926B67" w:rsidRPr="00926B67">
        <w:t xml:space="preserve">Renee Hobbs. "Digital and Media Literacy: A Plan of Action". Aspen Institute, 2010, https://core.ac.uk/download/71347458.pdf </w:t>
      </w:r>
    </w:p>
    <w:p w:rsidR="00C26B91" w:rsidRDefault="00C26B91" w:rsidP="00C26B91">
      <w:pPr>
        <w:ind w:left="270" w:hanging="270"/>
        <w:jc w:val="both"/>
        <w:rPr>
          <w:b/>
          <w:bCs/>
        </w:rPr>
      </w:pPr>
      <w:r>
        <w:rPr>
          <w:b/>
          <w:bCs/>
        </w:rPr>
        <w:t xml:space="preserve">[2] </w:t>
      </w:r>
      <w:r w:rsidR="00926B67" w:rsidRPr="00926B67">
        <w:t>Muduli, J R. "Addiction to technological gadgets and its impact on health and lifestyle: a study on college students".</w:t>
      </w:r>
      <w:r w:rsidRPr="00691748">
        <w:t>.</w:t>
      </w:r>
    </w:p>
    <w:p w:rsidR="007D522D" w:rsidRDefault="00C26B91" w:rsidP="00926B67">
      <w:pPr>
        <w:ind w:left="270" w:hanging="270"/>
        <w:jc w:val="both"/>
      </w:pPr>
      <w:r>
        <w:rPr>
          <w:b/>
          <w:bCs/>
        </w:rPr>
        <w:t xml:space="preserve">[3] </w:t>
      </w:r>
      <w:r w:rsidR="00926B67" w:rsidRPr="00926B67">
        <w:t xml:space="preserve">Newbold, Hannah. "An Analysis Of The Effects Of COVID-19 On Students At The University of Mississippi: Family, Careers, Mental Health". eGrove Press, 2021, </w:t>
      </w:r>
      <w:r w:rsidR="00B60DBB" w:rsidRPr="00B60DBB">
        <w:t>https://core.ac.uk/download/427484243.pdf</w:t>
      </w:r>
    </w:p>
    <w:p w:rsidR="00B60DBB" w:rsidRDefault="00B60DBB" w:rsidP="00926B67">
      <w:pPr>
        <w:ind w:left="270" w:hanging="270"/>
        <w:jc w:val="both"/>
      </w:pPr>
      <w:r>
        <w:rPr>
          <w:b/>
          <w:bCs/>
        </w:rPr>
        <w:t>[4]</w:t>
      </w:r>
      <w:r w:rsidRPr="00B60DBB">
        <w:t xml:space="preserve"> Kirsten Drotner. "Leisure Is Hard Work: Digital Practices and Future Competencies". The MacArthur Foundation Digital Media and Learning Initiative, 2008, https://core.ac.uk/download/71339891.pdf</w:t>
      </w:r>
    </w:p>
    <w:p w:rsidR="00926B67" w:rsidRDefault="00926B67" w:rsidP="00926B67">
      <w:pPr>
        <w:ind w:left="270" w:hanging="270"/>
        <w:jc w:val="both"/>
      </w:pPr>
    </w:p>
    <w:sectPr w:rsidR="00926B67" w:rsidSect="00962AC7">
      <w:headerReference w:type="even" r:id="rId8"/>
      <w:headerReference w:type="default" r:id="rId9"/>
      <w:footerReference w:type="default" r:id="rId10"/>
      <w:headerReference w:type="first" r:id="rId11"/>
      <w:type w:val="continuous"/>
      <w:pgSz w:w="11906" w:h="16838"/>
      <w:pgMar w:top="608" w:right="734" w:bottom="1080" w:left="734" w:header="180" w:footer="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572" w:rsidRDefault="001B6572" w:rsidP="003C5B4F">
      <w:r>
        <w:separator/>
      </w:r>
    </w:p>
  </w:endnote>
  <w:endnote w:type="continuationSeparator" w:id="0">
    <w:p w:rsidR="001B6572" w:rsidRDefault="001B6572"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MS Gothic"/>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__Inter_Fallback_179fb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5" w:type="dxa"/>
      <w:jc w:val="center"/>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1614"/>
      <w:gridCol w:w="7920"/>
      <w:gridCol w:w="891"/>
    </w:tblGrid>
    <w:tr w:rsidR="00D71D91" w:rsidRPr="00C020F5" w:rsidTr="00725842">
      <w:trPr>
        <w:trHeight w:val="70"/>
        <w:jc w:val="center"/>
      </w:trPr>
      <w:tc>
        <w:tcPr>
          <w:tcW w:w="1614" w:type="dxa"/>
          <w:vAlign w:val="center"/>
          <w:hideMark/>
        </w:tcPr>
        <w:p w:rsidR="00D71D91" w:rsidRPr="00C020F5" w:rsidRDefault="00D71D91" w:rsidP="00725842">
          <w:pPr>
            <w:pStyle w:val="Footer"/>
            <w:spacing w:before="40" w:after="40"/>
            <w:rPr>
              <w:rFonts w:ascii="Arial" w:hAnsi="Arial" w:cs="Arial"/>
              <w:b/>
              <w:bCs/>
              <w:color w:val="1F3864"/>
            </w:rPr>
          </w:pPr>
          <w:r w:rsidRPr="00C020F5">
            <w:rPr>
              <w:rFonts w:ascii="Arial" w:hAnsi="Arial" w:cs="Arial"/>
              <w:b/>
              <w:bCs/>
              <w:color w:val="1F3864"/>
            </w:rPr>
            <w:t>IJCRT1601009</w:t>
          </w:r>
        </w:p>
      </w:tc>
      <w:tc>
        <w:tcPr>
          <w:tcW w:w="7920" w:type="dxa"/>
          <w:vAlign w:val="center"/>
          <w:hideMark/>
        </w:tcPr>
        <w:p w:rsidR="00D71D91" w:rsidRPr="00C020F5" w:rsidRDefault="00C15795" w:rsidP="00C15795">
          <w:pPr>
            <w:pStyle w:val="Footer"/>
            <w:spacing w:before="40" w:after="40"/>
            <w:rPr>
              <w:rFonts w:ascii="Arial" w:hAnsi="Arial" w:cs="Arial"/>
              <w:b/>
              <w:bCs/>
              <w:color w:val="1F3864"/>
            </w:rPr>
          </w:pPr>
          <w:r w:rsidRPr="00C020F5">
            <w:rPr>
              <w:rFonts w:ascii="Arial" w:hAnsi="Arial" w:cs="Arial"/>
              <w:b/>
              <w:bCs/>
              <w:color w:val="1F3864"/>
            </w:rPr>
            <w:t xml:space="preserve">International Journal of Creative Research Thoughts (IJCRT) </w:t>
          </w:r>
          <w:hyperlink r:id="rId1" w:history="1">
            <w:r w:rsidRPr="00C020F5">
              <w:rPr>
                <w:rStyle w:val="Hyperlink"/>
                <w:rFonts w:ascii="Arial" w:hAnsi="Arial" w:cs="Arial"/>
                <w:b/>
                <w:bCs/>
              </w:rPr>
              <w:t>www.ijcrt.org</w:t>
            </w:r>
          </w:hyperlink>
        </w:p>
      </w:tc>
      <w:tc>
        <w:tcPr>
          <w:tcW w:w="891" w:type="dxa"/>
          <w:vAlign w:val="center"/>
          <w:hideMark/>
        </w:tcPr>
        <w:p w:rsidR="00D71D91" w:rsidRPr="00C020F5" w:rsidRDefault="000A1397" w:rsidP="00725842">
          <w:pPr>
            <w:pStyle w:val="Header"/>
            <w:spacing w:before="40" w:after="40"/>
            <w:rPr>
              <w:rFonts w:ascii="Arial" w:hAnsi="Arial" w:cs="Arial"/>
              <w:b/>
              <w:color w:val="1F3864"/>
            </w:rPr>
          </w:pPr>
          <w:r w:rsidRPr="00C020F5">
            <w:rPr>
              <w:rFonts w:ascii="Arial" w:hAnsi="Arial" w:cs="Arial"/>
              <w:b/>
              <w:color w:val="1F3864"/>
            </w:rPr>
            <w:fldChar w:fldCharType="begin"/>
          </w:r>
          <w:r w:rsidR="00D71D91"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sidR="00A12A67">
            <w:rPr>
              <w:rFonts w:ascii="Arial" w:hAnsi="Arial" w:cs="Arial"/>
              <w:b/>
              <w:noProof/>
              <w:color w:val="1F3864"/>
            </w:rPr>
            <w:t>27</w:t>
          </w:r>
          <w:r w:rsidRPr="00C020F5">
            <w:rPr>
              <w:rFonts w:ascii="Arial" w:hAnsi="Arial" w:cs="Arial"/>
              <w:b/>
              <w:color w:val="1F3864"/>
            </w:rPr>
            <w:fldChar w:fldCharType="end"/>
          </w:r>
        </w:p>
      </w:tc>
    </w:tr>
  </w:tbl>
  <w:p w:rsidR="00437460" w:rsidRPr="00A96917" w:rsidRDefault="00437460" w:rsidP="00437460">
    <w:pPr>
      <w:pStyle w:val="Footer"/>
      <w:jc w:val="both"/>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572" w:rsidRDefault="001B6572" w:rsidP="003C5B4F">
      <w:r>
        <w:separator/>
      </w:r>
    </w:p>
  </w:footnote>
  <w:footnote w:type="continuationSeparator" w:id="0">
    <w:p w:rsidR="001B6572" w:rsidRDefault="001B6572"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07" w:rsidRDefault="001B6572">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1" o:spid="_x0000_s2056" type="#_x0000_t75" style="position:absolute;left:0;text-align:left;margin-left:0;margin-top:0;width:471.35pt;height:290.25pt;z-index:-251657728;mso-position-horizontal:center;mso-position-horizontal-relative:margin;mso-position-vertical:center;mso-position-vertical-relative:margin" o:allowincell="f">
          <v:imagedata r:id="rId1" o:title="smalled-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F5" w:rsidRPr="00C020F5" w:rsidRDefault="001B6572" w:rsidP="00C020F5">
    <w:pPr>
      <w:pStyle w:val="Header"/>
      <w:pBdr>
        <w:bottom w:val="single" w:sz="12" w:space="1" w:color="auto"/>
      </w:pBdr>
      <w:rPr>
        <w:rFonts w:ascii="Arial" w:hAnsi="Arial" w:cs="Arial"/>
        <w:b/>
        <w:noProof/>
        <w:color w:val="215868" w:themeColor="accent5" w:themeShade="80"/>
        <w:sz w:val="22"/>
        <w:lang w:val="en-IN" w:eastAsia="en-US"/>
      </w:rPr>
    </w:pPr>
    <w:r>
      <w:rPr>
        <w:rFonts w:ascii="Arial" w:hAnsi="Arial" w:cs="Arial"/>
        <w:b/>
        <w:noProof/>
        <w:color w:val="215868" w:themeColor="accent5" w:themeShade="80"/>
        <w:sz w:val="22"/>
        <w:lang w:val="en-IN"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2" o:spid="_x0000_s2061" type="#_x0000_t75" style="position:absolute;left:0;text-align:left;margin-left:0;margin-top:0;width:471.35pt;height:290.25pt;z-index:-251659776;mso-position-horizontal:center;mso-position-horizontal-relative:margin;mso-position-vertical:center;mso-position-vertical-relative:margin" o:allowincell="f">
          <v:imagedata r:id="rId1" o:title="smalled-1" gain="19661f" blacklevel="22938f"/>
          <w10:wrap anchorx="margin" anchory="margin"/>
        </v:shape>
      </w:pict>
    </w:r>
    <w:r w:rsidR="00C020F5" w:rsidRPr="00C020F5">
      <w:rPr>
        <w:rFonts w:ascii="Arial" w:hAnsi="Arial" w:cs="Arial"/>
        <w:b/>
        <w:noProof/>
        <w:color w:val="215868" w:themeColor="accent5" w:themeShade="80"/>
        <w:sz w:val="22"/>
        <w:lang w:val="en-IN" w:eastAsia="en-US"/>
      </w:rPr>
      <w:t xml:space="preserve">www.ijcrt.org                            </w:t>
    </w:r>
    <w:r w:rsidR="00962AC7">
      <w:rPr>
        <w:rFonts w:ascii="Arial" w:hAnsi="Arial" w:cs="Arial"/>
        <w:b/>
        <w:noProof/>
        <w:color w:val="215868" w:themeColor="accent5" w:themeShade="80"/>
        <w:sz w:val="22"/>
        <w:lang w:val="en-IN" w:eastAsia="en-US"/>
      </w:rPr>
      <w:t xml:space="preserve">  </w:t>
    </w:r>
    <w:r w:rsidR="00C020F5" w:rsidRPr="00C020F5">
      <w:rPr>
        <w:rFonts w:ascii="Arial" w:hAnsi="Arial" w:cs="Arial"/>
        <w:b/>
        <w:noProof/>
        <w:color w:val="215868" w:themeColor="accent5" w:themeShade="80"/>
        <w:sz w:val="22"/>
        <w:lang w:val="en-IN" w:eastAsia="en-US"/>
      </w:rPr>
      <w:t xml:space="preserve"> </w:t>
    </w:r>
    <w:r w:rsidR="00B51093">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 xml:space="preserve">    </w:t>
    </w:r>
    <w:r w:rsidR="00C020F5" w:rsidRPr="00C020F5">
      <w:rPr>
        <w:rFonts w:ascii="Arial" w:hAnsi="Arial" w:cs="Arial"/>
        <w:b/>
        <w:noProof/>
        <w:color w:val="215868" w:themeColor="accent5" w:themeShade="80"/>
        <w:sz w:val="22"/>
        <w:lang w:val="en-IN" w:eastAsia="en-US"/>
      </w:rPr>
      <w:t>© 20</w:t>
    </w:r>
    <w:r w:rsidR="00962AC7">
      <w:rPr>
        <w:rFonts w:ascii="Arial" w:hAnsi="Arial" w:cs="Arial"/>
        <w:b/>
        <w:noProof/>
        <w:color w:val="215868" w:themeColor="accent5" w:themeShade="80"/>
        <w:sz w:val="22"/>
        <w:lang w:val="en-IN" w:eastAsia="en-US"/>
      </w:rPr>
      <w:t>XX</w:t>
    </w:r>
    <w:r w:rsidR="00C020F5" w:rsidRPr="00C020F5">
      <w:rPr>
        <w:rFonts w:ascii="Arial" w:hAnsi="Arial" w:cs="Arial"/>
        <w:b/>
        <w:noProof/>
        <w:color w:val="215868" w:themeColor="accent5" w:themeShade="80"/>
        <w:sz w:val="22"/>
        <w:lang w:val="en-IN" w:eastAsia="en-US"/>
      </w:rPr>
      <w:t xml:space="preserve"> IJCRT | Volume </w:t>
    </w:r>
    <w:r w:rsidR="00962AC7">
      <w:rPr>
        <w:rFonts w:ascii="Arial" w:hAnsi="Arial" w:cs="Arial"/>
        <w:b/>
        <w:noProof/>
        <w:color w:val="215868" w:themeColor="accent5" w:themeShade="80"/>
        <w:sz w:val="22"/>
        <w:lang w:val="en-IN" w:eastAsia="en-US"/>
      </w:rPr>
      <w:t>X</w:t>
    </w:r>
    <w:r w:rsidR="00C020F5" w:rsidRPr="00C020F5">
      <w:rPr>
        <w:rFonts w:ascii="Arial" w:hAnsi="Arial" w:cs="Arial"/>
        <w:b/>
        <w:noProof/>
        <w:color w:val="215868" w:themeColor="accent5" w:themeShade="80"/>
        <w:sz w:val="22"/>
        <w:lang w:val="en-IN" w:eastAsia="en-US"/>
      </w:rPr>
      <w:t xml:space="preserve">, Issue </w:t>
    </w:r>
    <w:r w:rsidR="00962AC7">
      <w:rPr>
        <w:rFonts w:ascii="Arial" w:hAnsi="Arial" w:cs="Arial"/>
        <w:b/>
        <w:noProof/>
        <w:color w:val="215868" w:themeColor="accent5" w:themeShade="80"/>
        <w:sz w:val="22"/>
        <w:lang w:val="en-IN" w:eastAsia="en-US"/>
      </w:rPr>
      <w:t>X</w:t>
    </w:r>
    <w:r w:rsidR="00C020F5"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Month</w:t>
    </w:r>
    <w:r w:rsidR="00C020F5"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Year</w:t>
    </w:r>
    <w:r w:rsidR="00C020F5" w:rsidRPr="00C020F5">
      <w:rPr>
        <w:rFonts w:ascii="Arial" w:hAnsi="Arial" w:cs="Arial"/>
        <w:b/>
        <w:noProof/>
        <w:color w:val="215868" w:themeColor="accent5" w:themeShade="80"/>
        <w:sz w:val="22"/>
        <w:lang w:val="en-IN" w:eastAsia="en-US"/>
      </w:rPr>
      <w:t xml:space="preserve"> | ISSN: 2320-2882</w:t>
    </w:r>
  </w:p>
  <w:p w:rsidR="003C5B4F" w:rsidRPr="00C020F5" w:rsidRDefault="003C5B4F" w:rsidP="00C020F5">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07" w:rsidRDefault="001B6572">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0" o:spid="_x0000_s2055" type="#_x0000_t75" style="position:absolute;left:0;text-align:left;margin-left:0;margin-top:0;width:471.35pt;height:290.25pt;z-index:-251658752;mso-position-horizontal:center;mso-position-horizontal-relative:margin;mso-position-vertical:center;mso-position-vertical-relative:margin" o:allowincell="f">
          <v:imagedata r:id="rId1" o:title="smalled-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2DF69844"/>
    <w:lvl w:ilvl="0">
      <w:start w:val="1"/>
      <w:numFmt w:val="none"/>
      <w:suff w:val="space"/>
      <w:lvlText w:val="V."/>
      <w:lvlJc w:val="center"/>
      <w:pPr>
        <w:ind w:left="0" w:firstLine="216"/>
      </w:pPr>
      <w:rPr>
        <w:rFonts w:cs="Times New Roman" w:hint="default"/>
        <w:i w:val="0"/>
        <w:iCs w:val="0"/>
      </w:rPr>
    </w:lvl>
    <w:lvl w:ilvl="1">
      <w:start w:val="1"/>
      <w:numFmt w:val="upperLetter"/>
      <w:lvlText w:val="%2."/>
      <w:lvlJc w:val="left"/>
      <w:pPr>
        <w:tabs>
          <w:tab w:val="num" w:pos="227"/>
        </w:tabs>
        <w:ind w:left="288" w:hanging="288"/>
      </w:pPr>
      <w:rPr>
        <w:rFonts w:cs="Times New Roman" w:hint="default"/>
      </w:rPr>
    </w:lvl>
    <w:lvl w:ilvl="2">
      <w:start w:val="1"/>
      <w:numFmt w:val="decimal"/>
      <w:lvlText w:val="%3)"/>
      <w:lvlJc w:val="left"/>
      <w:pPr>
        <w:tabs>
          <w:tab w:val="num" w:pos="425"/>
        </w:tabs>
        <w:ind w:left="0" w:firstLine="180"/>
      </w:pPr>
      <w:rPr>
        <w:rFonts w:cs="Times New Roman" w:hint="default"/>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7">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7"/>
    <w:rsid w:val="00006D28"/>
    <w:rsid w:val="00016C60"/>
    <w:rsid w:val="000334C0"/>
    <w:rsid w:val="000551EB"/>
    <w:rsid w:val="0008478E"/>
    <w:rsid w:val="000909A4"/>
    <w:rsid w:val="00090F66"/>
    <w:rsid w:val="00092B52"/>
    <w:rsid w:val="000A1397"/>
    <w:rsid w:val="000F6FF0"/>
    <w:rsid w:val="001611D6"/>
    <w:rsid w:val="001965AF"/>
    <w:rsid w:val="001A1321"/>
    <w:rsid w:val="001A44B9"/>
    <w:rsid w:val="001B6572"/>
    <w:rsid w:val="001F0D66"/>
    <w:rsid w:val="00227F35"/>
    <w:rsid w:val="00231136"/>
    <w:rsid w:val="00237F10"/>
    <w:rsid w:val="002C60BB"/>
    <w:rsid w:val="002F4DA0"/>
    <w:rsid w:val="00315A5D"/>
    <w:rsid w:val="003165B7"/>
    <w:rsid w:val="00324A8C"/>
    <w:rsid w:val="003659F6"/>
    <w:rsid w:val="0037519A"/>
    <w:rsid w:val="00384A58"/>
    <w:rsid w:val="003867C1"/>
    <w:rsid w:val="003A4DBC"/>
    <w:rsid w:val="003B39FA"/>
    <w:rsid w:val="003B49B2"/>
    <w:rsid w:val="003C5B4F"/>
    <w:rsid w:val="00404997"/>
    <w:rsid w:val="00422153"/>
    <w:rsid w:val="00426065"/>
    <w:rsid w:val="00426691"/>
    <w:rsid w:val="00437460"/>
    <w:rsid w:val="00440668"/>
    <w:rsid w:val="0048617F"/>
    <w:rsid w:val="004959E9"/>
    <w:rsid w:val="004B0F55"/>
    <w:rsid w:val="004C32D7"/>
    <w:rsid w:val="00515B09"/>
    <w:rsid w:val="00541F15"/>
    <w:rsid w:val="00580A4A"/>
    <w:rsid w:val="00582298"/>
    <w:rsid w:val="00594FA0"/>
    <w:rsid w:val="005A173D"/>
    <w:rsid w:val="005C1C94"/>
    <w:rsid w:val="005E1EA1"/>
    <w:rsid w:val="005E35DE"/>
    <w:rsid w:val="00602C71"/>
    <w:rsid w:val="006112BB"/>
    <w:rsid w:val="0063041E"/>
    <w:rsid w:val="006416D1"/>
    <w:rsid w:val="00655E23"/>
    <w:rsid w:val="00655F3C"/>
    <w:rsid w:val="00682140"/>
    <w:rsid w:val="00692375"/>
    <w:rsid w:val="00692A38"/>
    <w:rsid w:val="006C0A2C"/>
    <w:rsid w:val="006C5DAA"/>
    <w:rsid w:val="0070086A"/>
    <w:rsid w:val="007079C8"/>
    <w:rsid w:val="00737E30"/>
    <w:rsid w:val="00744FBA"/>
    <w:rsid w:val="00782518"/>
    <w:rsid w:val="007D452E"/>
    <w:rsid w:val="007D522D"/>
    <w:rsid w:val="007E4755"/>
    <w:rsid w:val="008572F1"/>
    <w:rsid w:val="00860DA1"/>
    <w:rsid w:val="00872542"/>
    <w:rsid w:val="00883331"/>
    <w:rsid w:val="008C48BD"/>
    <w:rsid w:val="008D547A"/>
    <w:rsid w:val="00905B07"/>
    <w:rsid w:val="00923A61"/>
    <w:rsid w:val="00926B67"/>
    <w:rsid w:val="00947495"/>
    <w:rsid w:val="00962AC7"/>
    <w:rsid w:val="00991FA3"/>
    <w:rsid w:val="009A4384"/>
    <w:rsid w:val="009C6BA4"/>
    <w:rsid w:val="009E0DB6"/>
    <w:rsid w:val="00A071CD"/>
    <w:rsid w:val="00A12A67"/>
    <w:rsid w:val="00A1438C"/>
    <w:rsid w:val="00A74A9A"/>
    <w:rsid w:val="00A9368B"/>
    <w:rsid w:val="00A96917"/>
    <w:rsid w:val="00B2063E"/>
    <w:rsid w:val="00B2483C"/>
    <w:rsid w:val="00B44AEB"/>
    <w:rsid w:val="00B50533"/>
    <w:rsid w:val="00B51093"/>
    <w:rsid w:val="00B60DBB"/>
    <w:rsid w:val="00B82EDE"/>
    <w:rsid w:val="00BA620B"/>
    <w:rsid w:val="00BB246A"/>
    <w:rsid w:val="00BD67B6"/>
    <w:rsid w:val="00C020F5"/>
    <w:rsid w:val="00C03BCA"/>
    <w:rsid w:val="00C15795"/>
    <w:rsid w:val="00C23B92"/>
    <w:rsid w:val="00C26B91"/>
    <w:rsid w:val="00C32C53"/>
    <w:rsid w:val="00C62F4C"/>
    <w:rsid w:val="00C804AA"/>
    <w:rsid w:val="00C86848"/>
    <w:rsid w:val="00C9534D"/>
    <w:rsid w:val="00C9681C"/>
    <w:rsid w:val="00D21527"/>
    <w:rsid w:val="00D26A36"/>
    <w:rsid w:val="00D71D91"/>
    <w:rsid w:val="00D836FA"/>
    <w:rsid w:val="00DA1C9C"/>
    <w:rsid w:val="00E12EB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oNotEmbedSmartTags/>
  <w:decimalSymbol w:val="."/>
  <w:listSeparator w:val=","/>
  <w15:docId w15:val="{3E9DE7EF-D545-41BB-8DB9-6735257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C7"/>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IJRTI</vt:lpstr>
    </vt:vector>
  </TitlesOfParts>
  <Company>www.ijrti.org</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IJRTI</dc:title>
  <dc:creator>Hitesh</dc:creator>
  <cp:lastModifiedBy>OL FAZ</cp:lastModifiedBy>
  <cp:revision>8</cp:revision>
  <cp:lastPrinted>1900-12-31T18:30:00Z</cp:lastPrinted>
  <dcterms:created xsi:type="dcterms:W3CDTF">2025-01-27T10:04:00Z</dcterms:created>
  <dcterms:modified xsi:type="dcterms:W3CDTF">2025-01-27T10:48:00Z</dcterms:modified>
</cp:coreProperties>
</file>